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649B1" w:rsidRDefault="00C649B1" w:rsidP="00554EEC">
      <w:pPr>
        <w:pStyle w:val="a3"/>
        <w:spacing w:after="278"/>
      </w:pPr>
      <w:r>
        <w:rPr>
          <w:b/>
          <w:bCs/>
        </w:rPr>
        <w:t>Киселева, 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жемпер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ан</w:t>
      </w:r>
      <w:r w:rsidR="001A22C7">
        <w:t>эхогенное</w:t>
      </w:r>
      <w:r w:rsidR="00C21D3C">
        <w:t xml:space="preserve"> с наличием небольшого пристеночного сладжа (примерно на 1\5 от общего объёма) и тяжами к периферии</w:t>
      </w:r>
      <w:r w:rsidR="001A22C7">
        <w:t>. Стенка не утолщена, 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C649B1">
        <w:t>.</w:t>
      </w:r>
      <w:r>
        <w:t xml:space="preserve"> Толщина стенки:</w:t>
      </w:r>
      <w:r w:rsidR="001A22C7">
        <w:t xml:space="preserve"> 2,7</w:t>
      </w:r>
      <w:r>
        <w:t xml:space="preserve"> 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1A22C7">
        <w:t>4,1</w:t>
      </w:r>
      <w:r>
        <w:t>мм. Дифференциация слоев стенки сохранена</w:t>
      </w:r>
      <w:r w:rsidR="00C21D3C">
        <w:t xml:space="preserve">, в слизистом слое визуализируются точечные </w:t>
      </w:r>
      <w:proofErr w:type="spellStart"/>
      <w:r w:rsidR="00C21D3C">
        <w:t>гипоэхоненные</w:t>
      </w:r>
      <w:proofErr w:type="spellEnd"/>
      <w:r w:rsidR="00C21D3C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1A22C7">
        <w:t>1,7-2,4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1A22C7">
        <w:t>слабо</w:t>
      </w:r>
      <w:r>
        <w:t xml:space="preserve"> расширен</w:t>
      </w:r>
      <w:r w:rsidR="001A22C7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21D3C">
        <w:t>1</w:t>
      </w:r>
      <w:r>
        <w:t>мм. Дифференциация слоев стенки сохранена. Соотношение слоев стенки кишки: не изменено.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C21D3C" w:rsidRDefault="00554EEC" w:rsidP="00C21D3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1A22C7">
        <w:t>35,7*20,3</w:t>
      </w:r>
      <w:r>
        <w:t xml:space="preserve"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C21D3C">
        <w:t xml:space="preserve">визуализируются </w:t>
      </w:r>
      <w:proofErr w:type="spellStart"/>
      <w:r w:rsidR="00C21D3C">
        <w:t>гиперэхогенные</w:t>
      </w:r>
      <w:proofErr w:type="spellEnd"/>
      <w:r w:rsidR="00C21D3C">
        <w:t xml:space="preserve"> участки, по типу минерализации, испускающие </w:t>
      </w:r>
      <w:proofErr w:type="spellStart"/>
      <w:r w:rsidR="00C21D3C">
        <w:t>эхотень</w:t>
      </w:r>
      <w:proofErr w:type="spellEnd"/>
      <w:r w:rsidR="00C21D3C">
        <w:t xml:space="preserve">, до 1,4мм в длину в области </w:t>
      </w:r>
      <w:proofErr w:type="spellStart"/>
      <w:r w:rsidR="00C21D3C">
        <w:t>рецессусов</w:t>
      </w:r>
      <w:proofErr w:type="spellEnd"/>
      <w:r w:rsidR="00C21D3C">
        <w:t>.</w:t>
      </w:r>
    </w:p>
    <w:p w:rsidR="00554EEC" w:rsidRDefault="00554EEC" w:rsidP="00554EEC">
      <w:pPr>
        <w:pStyle w:val="a3"/>
        <w:spacing w:after="278"/>
      </w:pPr>
      <w:r>
        <w:lastRenderedPageBreak/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1A22C7">
        <w:t>36*20,7</w:t>
      </w:r>
      <w:r>
        <w:t xml:space="preserve">мм. Положение: анатомически правильное. Форма бобовидная. Контуры ровные, четкие. Структура паренхимы: однородная. Эхогенность: не изменена. Кортикомедулярная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</w:t>
      </w:r>
      <w:r w:rsidR="001A22C7">
        <w:t>визуализирую</w:t>
      </w:r>
      <w:r>
        <w:t>тся</w:t>
      </w:r>
      <w:r w:rsidR="001A22C7">
        <w:t xml:space="preserve"> </w:t>
      </w:r>
      <w:proofErr w:type="spellStart"/>
      <w:r w:rsidR="001A22C7">
        <w:t>гиперэхогенные</w:t>
      </w:r>
      <w:proofErr w:type="spellEnd"/>
      <w:r w:rsidR="001A22C7">
        <w:t xml:space="preserve"> участки</w:t>
      </w:r>
      <w:r w:rsidR="00C21D3C">
        <w:t>,</w:t>
      </w:r>
      <w:r w:rsidR="001A22C7">
        <w:t xml:space="preserve"> </w:t>
      </w:r>
      <w:r w:rsidR="00C21D3C">
        <w:t xml:space="preserve">по типу </w:t>
      </w:r>
      <w:r w:rsidR="001A22C7">
        <w:t>минерализации</w:t>
      </w:r>
      <w:r w:rsidR="00C21D3C">
        <w:t xml:space="preserve">, испускающие </w:t>
      </w:r>
      <w:proofErr w:type="spellStart"/>
      <w:r w:rsidR="00C21D3C">
        <w:t>эхотень</w:t>
      </w:r>
      <w:proofErr w:type="spellEnd"/>
      <w:r w:rsidR="00C21D3C">
        <w:t>,</w:t>
      </w:r>
      <w:r w:rsidR="001A22C7">
        <w:t xml:space="preserve"> до 1,8мм в длину в области </w:t>
      </w:r>
      <w:proofErr w:type="spellStart"/>
      <w:r w:rsidR="001A22C7">
        <w:t>рецессусов</w:t>
      </w:r>
      <w:proofErr w:type="spellEnd"/>
      <w:r>
        <w:t>.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1A22C7">
        <w:t>14,9*3,7</w:t>
      </w:r>
      <w:r>
        <w:t>мм. Форма типичная. Контуры ровные. Границы четкие. Эхогенность не изменена. Структура 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C21D3C">
        <w:t>11,5*3,3</w:t>
      </w:r>
      <w:r>
        <w:t>мм. Форма типичная. Контуры ровные. Границы четкие. Эхогенность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1A22C7">
        <w:t>0,9</w:t>
      </w:r>
      <w:r>
        <w:t>мм. Содержимое: анэхогенное</w:t>
      </w:r>
      <w:r w:rsidR="001A22C7">
        <w:t xml:space="preserve"> с наличием умеренного количества </w:t>
      </w:r>
      <w:proofErr w:type="spellStart"/>
      <w:r w:rsidR="001A22C7">
        <w:t>гипоэхогенной</w:t>
      </w:r>
      <w:proofErr w:type="spellEnd"/>
      <w:r w:rsidR="001A22C7">
        <w:t xml:space="preserve"> мелкодисперсной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C649B1">
        <w:t xml:space="preserve">не </w:t>
      </w:r>
      <w:r>
        <w:t>визуализируется</w:t>
      </w:r>
      <w:r w:rsidR="00C649B1">
        <w:t xml:space="preserve"> ввиду смещения в тазовую часть</w:t>
      </w:r>
      <w:r>
        <w:t>.</w:t>
      </w:r>
      <w:r w:rsidR="00C649B1">
        <w:t xml:space="preserve"> 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C21D3C" w:rsidRDefault="00C21D3C" w:rsidP="00554EEC">
      <w:pPr>
        <w:pStyle w:val="a3"/>
        <w:spacing w:after="278"/>
      </w:pPr>
      <w:r>
        <w:t xml:space="preserve">- наличия небольшого сладжа с тяжами – тенденция к развитию </w:t>
      </w:r>
      <w:proofErr w:type="spellStart"/>
      <w:r>
        <w:t>мукоцеле</w:t>
      </w:r>
      <w:proofErr w:type="spellEnd"/>
      <w:r>
        <w:t xml:space="preserve"> – рекомендовано исследование в динамике</w:t>
      </w:r>
    </w:p>
    <w:p w:rsidR="00C21D3C" w:rsidRDefault="00C21D3C" w:rsidP="00C21D3C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дополнительных точечных включений, что может соответствовать </w:t>
      </w:r>
      <w:r>
        <w:rPr>
          <w:rFonts w:ascii="Times New Roman" w:hAnsi="Times New Roman" w:cs="Times New Roman"/>
          <w:sz w:val="24"/>
          <w:szCs w:val="24"/>
        </w:rPr>
        <w:t xml:space="preserve">хронической </w:t>
      </w:r>
      <w:r w:rsidRPr="00935BBB">
        <w:rPr>
          <w:rFonts w:ascii="Times New Roman" w:hAnsi="Times New Roman" w:cs="Times New Roman"/>
          <w:sz w:val="24"/>
          <w:szCs w:val="24"/>
        </w:rPr>
        <w:t xml:space="preserve">энтеропатии, группе воспалительных </w:t>
      </w:r>
      <w:r w:rsidRPr="00935BBB">
        <w:rPr>
          <w:rFonts w:ascii="Times New Roman" w:hAnsi="Times New Roman" w:cs="Times New Roman"/>
          <w:sz w:val="24"/>
          <w:szCs w:val="24"/>
        </w:rPr>
        <w:lastRenderedPageBreak/>
        <w:t>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C21D3C" w:rsidRPr="00C21D3C" w:rsidRDefault="00C21D3C" w:rsidP="00C21D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наличия участков минерализации в области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рецессусов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почек билатерально</w:t>
      </w:r>
    </w:p>
    <w:p w:rsidR="00BB4038" w:rsidRDefault="00C21D3C" w:rsidP="00554EEC">
      <w:pPr>
        <w:pStyle w:val="a3"/>
        <w:spacing w:after="278"/>
      </w:pPr>
      <w:r>
        <w:t>- наличия умеренного количества взвеси в мочевом пузыре</w:t>
      </w:r>
    </w:p>
    <w:p w:rsidR="00C21D3C" w:rsidRDefault="00C21D3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A22C7"/>
    <w:rsid w:val="00554EEC"/>
    <w:rsid w:val="009E2C9E"/>
    <w:rsid w:val="00B11A09"/>
    <w:rsid w:val="00BB4038"/>
    <w:rsid w:val="00C21D3C"/>
    <w:rsid w:val="00C649B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2025-03-13T17:03:00Z</dcterms:created>
  <dcterms:modified xsi:type="dcterms:W3CDTF">2025-03-13T17:03:00Z</dcterms:modified>
</cp:coreProperties>
</file>