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DC2" w:rsidRDefault="00423DC2" w:rsidP="00423DC2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ОДНОЙ СИСТЕМЫ</w:t>
      </w:r>
    </w:p>
    <w:p w:rsidR="00401B29" w:rsidRDefault="00401B29" w:rsidP="00423DC2">
      <w:pPr>
        <w:pStyle w:val="a3"/>
        <w:spacing w:after="278"/>
      </w:pPr>
      <w:r>
        <w:rPr>
          <w:b/>
          <w:bCs/>
        </w:rPr>
        <w:t>Карпов, к</w:t>
      </w:r>
      <w:proofErr w:type="gramStart"/>
      <w:r>
        <w:rPr>
          <w:b/>
          <w:bCs/>
        </w:rPr>
        <w:t>.Ш</w:t>
      </w:r>
      <w:proofErr w:type="gramEnd"/>
      <w:r>
        <w:rPr>
          <w:b/>
          <w:bCs/>
        </w:rPr>
        <w:t>торм</w:t>
      </w:r>
    </w:p>
    <w:p w:rsidR="00423DC2" w:rsidRDefault="00423DC2" w:rsidP="00423DC2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 w:rsidR="00401B29">
        <w:t xml:space="preserve"> </w:t>
      </w:r>
    </w:p>
    <w:p w:rsidR="00401B29" w:rsidRDefault="00423DC2" w:rsidP="00401B29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слабо </w:t>
      </w:r>
      <w:proofErr w:type="gramStart"/>
      <w:r>
        <w:t>наполнен</w:t>
      </w:r>
      <w:proofErr w:type="gramEnd"/>
      <w:r w:rsidR="00401B29">
        <w:t xml:space="preserve">. </w:t>
      </w:r>
      <w:r>
        <w:t>Содержимо</w:t>
      </w:r>
      <w:r w:rsidR="00401B29">
        <w:t xml:space="preserve">е: </w:t>
      </w:r>
      <w:proofErr w:type="spellStart"/>
      <w:r>
        <w:t>гипоэхогенное</w:t>
      </w:r>
      <w:proofErr w:type="spellEnd"/>
      <w:r w:rsidR="00401B29">
        <w:t xml:space="preserve">, с наличием </w:t>
      </w:r>
      <w:proofErr w:type="spellStart"/>
      <w:r w:rsidR="00401B29">
        <w:t>гипоэхогенной</w:t>
      </w:r>
      <w:proofErr w:type="spellEnd"/>
      <w:r w:rsidR="00401B29">
        <w:t xml:space="preserve"> структуры с нечёткими контурами испускающей </w:t>
      </w:r>
      <w:proofErr w:type="spellStart"/>
      <w:r w:rsidR="00401B29">
        <w:t>эхтень</w:t>
      </w:r>
      <w:proofErr w:type="spellEnd"/>
      <w:r w:rsidR="00401B29">
        <w:t>, около 19мм в длину</w:t>
      </w:r>
      <w:r w:rsidR="00AD26FD">
        <w:t>, подозрение на частичную непроходимость</w:t>
      </w:r>
      <w:r>
        <w:t xml:space="preserve">. Толщина стенки: </w:t>
      </w:r>
      <w:r w:rsidR="00401B29">
        <w:t>2-2,3</w:t>
      </w:r>
      <w:r>
        <w:t>мм. Дифференциация слоев стенки: сохранена</w:t>
      </w:r>
      <w:r w:rsidR="00401B29">
        <w:t xml:space="preserve">, выражен </w:t>
      </w:r>
      <w:proofErr w:type="spellStart"/>
      <w:r w:rsidR="00401B29">
        <w:t>подслизистый</w:t>
      </w:r>
      <w:proofErr w:type="spellEnd"/>
      <w:r w:rsidR="00401B29">
        <w:t xml:space="preserve"> слой</w:t>
      </w:r>
      <w:r>
        <w:t xml:space="preserve">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401B29">
        <w:t>2,3</w:t>
      </w:r>
      <w:r>
        <w:t xml:space="preserve">мм. Дифференциация слоев стенки сохранена. Соотношение слоев стенки кишки: не изменено. Просвет </w:t>
      </w:r>
      <w:r w:rsidR="00401B29">
        <w:t>слабо</w:t>
      </w:r>
      <w:r>
        <w:t xml:space="preserve"> расширен</w:t>
      </w:r>
      <w:r w:rsidR="00401B29">
        <w:t xml:space="preserve"> </w:t>
      </w:r>
      <w:proofErr w:type="spellStart"/>
      <w:r w:rsidR="00401B29">
        <w:t>гипоэхогенным</w:t>
      </w:r>
      <w:proofErr w:type="spellEnd"/>
      <w:r w:rsidR="00401B29">
        <w:t xml:space="preserve"> содержимым</w:t>
      </w:r>
      <w:r>
        <w:t>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401B29">
        <w:t>2,2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401B29">
        <w:t>1-1,2</w:t>
      </w:r>
      <w:r>
        <w:t>мм</w:t>
      </w:r>
      <w:r w:rsidR="00401B29">
        <w:t>, локально на спавшихся участках стенка 1,7мм</w:t>
      </w:r>
      <w:r>
        <w:t>. Дифференциация слоев стенки сохранена. Соотношение сл</w:t>
      </w:r>
      <w:r w:rsidR="00401B29">
        <w:t>оев стенки кишки: не изменено. В начальных отделах п</w:t>
      </w:r>
      <w:r>
        <w:t>росвет расширен однород</w:t>
      </w:r>
      <w:r w:rsidR="00401B29">
        <w:t xml:space="preserve">ным </w:t>
      </w:r>
      <w:proofErr w:type="spellStart"/>
      <w:r w:rsidR="00401B29">
        <w:t>гипоэхогенным</w:t>
      </w:r>
      <w:proofErr w:type="spellEnd"/>
      <w:r w:rsidR="00401B29">
        <w:t xml:space="preserve"> содержимым, в нисходящем отделе просвет спавшийся.</w:t>
      </w:r>
    </w:p>
    <w:p w:rsidR="00423DC2" w:rsidRDefault="00423DC2" w:rsidP="00423DC2">
      <w:pPr>
        <w:pStyle w:val="a3"/>
        <w:spacing w:after="278"/>
      </w:pPr>
      <w:r>
        <w:br/>
      </w:r>
      <w:r>
        <w:rPr>
          <w:b/>
          <w:bCs/>
        </w:rPr>
        <w:t>Лимфатические узлы брюшной полости:</w:t>
      </w:r>
      <w:r>
        <w:t xml:space="preserve"> </w:t>
      </w:r>
      <w:proofErr w:type="spellStart"/>
      <w:r w:rsidR="00401B29">
        <w:t>мезентериальные</w:t>
      </w:r>
      <w:proofErr w:type="spellEnd"/>
      <w:r w:rsidR="00401B29">
        <w:t xml:space="preserve"> </w:t>
      </w:r>
      <w:proofErr w:type="spellStart"/>
      <w:r w:rsidR="00401B29">
        <w:t>л\</w:t>
      </w:r>
      <w:proofErr w:type="gramStart"/>
      <w:r w:rsidR="00401B29">
        <w:t>у</w:t>
      </w:r>
      <w:proofErr w:type="spellEnd"/>
      <w:proofErr w:type="gramEnd"/>
      <w:r w:rsidR="00401B29">
        <w:t xml:space="preserve"> </w:t>
      </w:r>
      <w:proofErr w:type="gramStart"/>
      <w:r w:rsidR="00401B29">
        <w:t>полюс</w:t>
      </w:r>
      <w:proofErr w:type="gramEnd"/>
      <w:r w:rsidR="00401B29">
        <w:t xml:space="preserve"> 6,1мм, структура неоднородная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AD26FD" w:rsidRDefault="00AD26FD" w:rsidP="00423DC2">
      <w:pPr>
        <w:pStyle w:val="a3"/>
        <w:spacing w:after="278"/>
      </w:pPr>
      <w:r>
        <w:t>- диффузных изменений стенки желудка, характерных для гастрита в слабовыраженной стадии обострения</w:t>
      </w:r>
    </w:p>
    <w:p w:rsidR="00AD26FD" w:rsidRDefault="00AD26FD" w:rsidP="00423DC2">
      <w:pPr>
        <w:pStyle w:val="a3"/>
        <w:spacing w:after="278"/>
      </w:pPr>
      <w:r>
        <w:t xml:space="preserve">- наличия в просвете желудка структуры, наиболее характерной для </w:t>
      </w:r>
      <w:proofErr w:type="spellStart"/>
      <w:r>
        <w:t>трихобезоара</w:t>
      </w:r>
      <w:proofErr w:type="spellEnd"/>
      <w:r>
        <w:t>, нельзя исключать наличие иных инородных тел, ввиду наличия в желудке содержимого, характерного для кормовых масс, можно подозревать частичную непроходимость – рекомендована оценка в динамике</w:t>
      </w:r>
    </w:p>
    <w:p w:rsidR="00AD26FD" w:rsidRPr="00935BBB" w:rsidRDefault="00AD26FD" w:rsidP="00AD26FD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 xml:space="preserve">- утолщения и диффузных изменений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мезентериальных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лимфатических узлов, что может соответствовать лимфадениту/лимфоидной гиперплазии/иной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лимфаденопатии</w:t>
      </w:r>
      <w:proofErr w:type="spellEnd"/>
    </w:p>
    <w:p w:rsidR="00423DC2" w:rsidRDefault="00423DC2" w:rsidP="00423DC2">
      <w:pPr>
        <w:pStyle w:val="a3"/>
        <w:spacing w:after="278"/>
      </w:pPr>
    </w:p>
    <w:p w:rsidR="00423DC2" w:rsidRDefault="00423DC2" w:rsidP="00423DC2">
      <w:pPr>
        <w:pStyle w:val="a3"/>
        <w:spacing w:after="278"/>
      </w:pPr>
      <w:r>
        <w:t xml:space="preserve">Исследование выполнила: врач визуальной диагностики </w:t>
      </w:r>
      <w:proofErr w:type="spellStart"/>
      <w:r>
        <w:t>Ахмерова.А.И</w:t>
      </w:r>
      <w:proofErr w:type="spellEnd"/>
    </w:p>
    <w:p w:rsidR="00CE53FB" w:rsidRDefault="00CE53FB"/>
    <w:sectPr w:rsidR="00CE53FB" w:rsidSect="007A5D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23DC2"/>
    <w:rsid w:val="00401B29"/>
    <w:rsid w:val="00423DC2"/>
    <w:rsid w:val="007A5D07"/>
    <w:rsid w:val="00AD26FD"/>
    <w:rsid w:val="00CE5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D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3DC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2025-02-02T10:48:00Z</dcterms:created>
  <dcterms:modified xsi:type="dcterms:W3CDTF">2025-02-02T10:48:00Z</dcterms:modified>
</cp:coreProperties>
</file>