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pPr w:bottomFromText="0" w:horzAnchor="margin" w:leftFromText="180" w:rightFromText="180" w:tblpX="0" w:tblpXSpec="center" w:tblpY="406" w:topFromText="0" w:vertAnchor="page"/>
        <w:tblW w:w="1044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20"/>
        <w:gridCol w:w="4522"/>
      </w:tblGrid>
      <w:tr>
        <w:trPr>
          <w:trHeight w:val="699" w:hRule="atLeast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entury Schoolbook" w:hAnsi="Century Schoolbook"/>
                <w:b/>
                <w:b/>
                <w:bCs/>
                <w:i/>
                <w:i/>
                <w:sz w:val="28"/>
                <w:szCs w:val="28"/>
              </w:rPr>
            </w:pPr>
            <w:r>
              <w:rPr>
                <w:rFonts w:eastAsia="Calibri" w:cs="" w:ascii="Century Schoolbook" w:hAnsi="Century Schoolbook"/>
                <w:b/>
                <w:bCs/>
                <w:i/>
                <w:kern w:val="0"/>
                <w:sz w:val="28"/>
                <w:szCs w:val="28"/>
                <w:lang w:val="ru-RU" w:eastAsia="en-US"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Calibri" w:cs="" w:ascii="Century Schoolbook" w:hAnsi="Century Schoolbook"/>
                <w:b/>
                <w:bCs/>
                <w:i/>
                <w:kern w:val="0"/>
                <w:sz w:val="28"/>
                <w:szCs w:val="28"/>
                <w:lang w:val="ru-RU" w:eastAsia="en-US" w:bidi="ar-SA"/>
              </w:rPr>
              <w:t>ДОБРОВЕТ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entury Schoolbook" w:hAnsi="Century Schoolbook"/>
                <w:b/>
                <w:b/>
                <w:bCs/>
                <w:i/>
                <w:i/>
                <w:sz w:val="28"/>
                <w:szCs w:val="28"/>
              </w:rPr>
            </w:pPr>
            <w:r>
              <w:rPr>
                <w:rFonts w:eastAsia="Calibri" w:cs="" w:ascii="Century Schoolbook" w:hAnsi="Century Schoolbook"/>
                <w:b/>
                <w:bCs/>
                <w:i/>
                <w:kern w:val="0"/>
                <w:sz w:val="28"/>
                <w:szCs w:val="28"/>
                <w:lang w:val="ru-RU" w:eastAsia="en-US" w:bidi="ar-SA"/>
              </w:rPr>
              <w:t>сеть ветеринарных клиник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</w:rPr>
            </w:pPr>
            <w:bookmarkStart w:id="0" w:name="_GoBack"/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Г. Александров ул. Кольчугинская 19.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i/>
                <w:i/>
                <w:i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Тел.: 8(49244) 28312 , 8(915) 777-66-54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Режим работы: с 9:00 - 18:00.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Суббота, воскресенье: с 9:00 - 14:00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Г. Александров ул. Жулёва д.3 пом.3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Тел. 8(49244)9-15-25, 8(930) 222-48-48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Режим работы: ежедневно с 10:00 до 20:00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ru-RU" w:eastAsia="en-US" w:bidi="ar-SA"/>
              </w:rPr>
              <w:t>Г. Струнино, пл. Кирова, 7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Тел. 8 (930) 030-48-48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Режим работы: пн-вт: выходной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2"/>
                <w:lang w:val="ru-RU" w:eastAsia="en-US" w:bidi="ar-SA"/>
              </w:rPr>
              <w:t>Ср-пт: с 10:00 до 18:00; сб-вс: с 10:00 до 17:00</w:t>
            </w:r>
          </w:p>
          <w:p>
            <w:pPr>
              <w:pStyle w:val="Normal"/>
              <w:widowControl/>
              <w:tabs>
                <w:tab w:val="clear" w:pos="708"/>
                <w:tab w:val="left" w:pos="8789" w:leader="none"/>
              </w:tabs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www</w:t>
            </w: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.</w:t>
            </w: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vetpomosch</w:t>
            </w:r>
            <w:r>
              <w:rPr>
                <w:rFonts w:eastAsia="Calibri" w:cs=""/>
                <w:b/>
                <w:kern w:val="0"/>
                <w:sz w:val="20"/>
                <w:szCs w:val="20"/>
                <w:lang w:val="ru-RU" w:eastAsia="en-US" w:bidi="ar-SA"/>
              </w:rPr>
              <w:t>.</w:t>
            </w:r>
            <w:r>
              <w:rPr>
                <w:rFonts w:eastAsia="Calibri" w:cs=""/>
                <w:b/>
                <w:kern w:val="0"/>
                <w:sz w:val="20"/>
                <w:szCs w:val="20"/>
                <w:lang w:val="en-US" w:eastAsia="en-US" w:bidi="ar-SA"/>
              </w:rPr>
              <w:t>com</w:t>
            </w:r>
            <w:bookmarkEnd w:id="0"/>
          </w:p>
          <w:p>
            <w:pPr>
              <w:pStyle w:val="Normal"/>
              <w:widowControl/>
              <w:tabs>
                <w:tab w:val="clear" w:pos="708"/>
                <w:tab w:val="left" w:pos="8789" w:leader="none"/>
              </w:tabs>
              <w:spacing w:lineRule="auto" w:line="240" w:before="0" w:after="0"/>
              <w:jc w:val="left"/>
              <w:rPr>
                <w:b/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8789" w:leader="none"/>
              </w:tabs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2126615" cy="1732915"/>
                  <wp:effectExtent l="0" t="0" r="0" b="0"/>
                  <wp:docPr id="1" name="Рисунок 3" descr="Добровет_логотип-на-белом-фо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 descr="Добровет_логотип-на-белом-фо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615" cy="173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lineRule="auto" w:line="240" w:beforeAutospacing="1" w:after="240"/>
        <w:rPr>
          <w:rFonts w:ascii="Times New Roman" w:hAnsi="Times New Roman" w:eastAsia="Times New Roman" w:cs="Times New Roman"/>
          <w:b/>
          <w:b/>
          <w:bCs/>
          <w:sz w:val="20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ДЕТАЛИЗИРОВАННОЕ УЛЬТРАЗВУКОВОЕ ИССЛЕДОВАНИЕ БРЮШНОЙ ПОЛОСТИ САМЦА</w:t>
      </w:r>
    </w:p>
    <w:p>
      <w:pPr>
        <w:pStyle w:val="Normal"/>
        <w:spacing w:lineRule="auto" w:line="240" w:beforeAutospacing="1" w:after="24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 xml:space="preserve">Дата исследования: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14.21.25</w:t>
      </w:r>
    </w:p>
    <w:p>
      <w:pPr>
        <w:pStyle w:val="Normal"/>
        <w:spacing w:lineRule="auto" w:line="240" w:beforeAutospacing="1" w:after="24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 xml:space="preserve">ФИО владельца: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Акинина И.И.</w:t>
      </w:r>
    </w:p>
    <w:p>
      <w:pPr>
        <w:pStyle w:val="Normal"/>
        <w:spacing w:lineRule="auto" w:line="240" w:beforeAutospacing="1" w:after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 xml:space="preserve">Кличка, порода, возраст животного: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u w:val="single"/>
          <w:lang w:eastAsia="ru-RU"/>
        </w:rPr>
        <w:t>Собака Шон, 6 лет, шпиц</w:t>
      </w:r>
    </w:p>
    <w:p>
      <w:pPr>
        <w:pStyle w:val="Normal"/>
        <w:spacing w:lineRule="auto" w:line="240" w:beforeAutospacing="1" w:after="240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Наличие свободной жидкости в брюшной полости: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не визуализируется.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Лимфатические узлы брюшной полости: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без особенностей.</w:t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Мочевой пузырь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Расположение типичное. Форма овоидная. Размер: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спущен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Содержимое: однородное, анэхогенное. Стенка не утолщена,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0,18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см. Конкременты не выявлены. Новообразования не визуализируются.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Уретра: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проксимальный отдел уретры не расширен, стенки не утолщены.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Почки: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Левая почка: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Не увеличена,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3,44*2,06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см. Форма овальная. Контуры ровные. Расположение типичное. Капсула дифференцируется. КМД сохранена. Соотношение коркового и мозгового слоев: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утолщен корковый слой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Корковый слой однородный, эхогенность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повышена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Мозговой слой однородный, эхогенность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повышена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. Лоханка не изменена.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Правая почка: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Не увеличена,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3,40*2,00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см. Форма овальная. Контуры ровные. Расположение типичное. Капсула дифференцируется. КМД сохранена. Соотношение коркового и мозгового слоев: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утолщен корковый слой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Корковый слой однородный, эхогенность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повышена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Мозговой слой однородный, эхогенность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повышена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. Лоханка не изменена.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Предстательная железа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визуализируется. Размер: не увеличена. Контуры ровные. Эхоструктура однородная. Эхогенность не изменена. Новообразования не визуализируются.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Селезенка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Размер: не увеличен. Контуры ровные. Эхоструктура однородная. Эхогенность не изменена. Сосудистый рисунок выражен умеренно. Новообразования не визуализируются.</w:t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Печень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Расположение: типичное. Размер: не увеличена. Контуры ровные, четкие.  Свободный край острый. Эхоструктура паренхимы однородная.  Эхогенность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повышена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. Сосудистый рисунок печени выражен умеренно. Новообразования не выявлены.</w:t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Желчный пузырь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Умеренно наполнен. Контуры ровные. Форма пузыря типичная. Содержимое однородное, анэхогенное. Стенка утолщена, 0,1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4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см. </w:t>
        <w:br/>
      </w:r>
      <w:r>
        <w:rPr>
          <w:rFonts w:eastAsia="Times New Roman" w:cs="Times New Roman" w:ascii="Times New Roman" w:hAnsi="Times New Roman"/>
          <w:sz w:val="20"/>
          <w:szCs w:val="24"/>
          <w:u w:val="single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Поджелудочная железа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визуализируется. Эхоструктура однородная. Эхогенность не изменена. Правая доля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0,67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см. Проток не расширен,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0,04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см. Новообразования не визуализируются. Жировая ткань в области поджелудочной железы не изменена.</w:t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Желудочно-кишечный тракт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Желудок: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перистальтика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снижена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Толщина стенки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0,26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см. Дифференциация слоев стенки сохранена. Соотношение слоев стенки желудка изменено,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утолщен подслизистый слой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Содержимое: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газ, анэхогенное содержимое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12-перстная кишка: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перистальтика сохранена. Толщина стенки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0,39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см. Дифференциация слоев стенки сохранена. Соотношение слоев стенки кишки изменено,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утолщен подслизистый слой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. Просвет расширен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небольшим количеством гиперэхогенного содержимого — химус.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Тощая кишка: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перистальтика сохранена. Толщина стенки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0,30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см. Дифференциация слоев стенки сохранена. Соотношение слоев стенки кишки не изменено. Просвет не расширен.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Подвздошная кишка: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перистальтика сохранена. Толщина стенки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0,33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см. Дифференциация слоев стенки сохранена. Соотношение слоев стенки кишки не изменено. Просвет не расширен.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Ободочная кишка: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перистальтика не визуализируется. Толщина стенки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0,14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см. Дифференциация слоев стенки сохранена. Соотношение слоев стенки кишки не изменено. Просвет расширен однородным гиперэхогенным содержимым.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УЗ-признаков инородных тел и новообразований не визуализируется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u w:val="single"/>
          <w:lang w:eastAsia="ru-RU"/>
        </w:rPr>
        <w:t>Ультразвуковые особенности других органов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без особенностей.</w:t>
        <w:br/>
        <w:br/>
      </w:r>
      <w:r>
        <w:rPr>
          <w:rFonts w:eastAsia="Times New Roman" w:cs="Times New Roman" w:ascii="Times New Roman" w:hAnsi="Times New Roman"/>
          <w:b/>
          <w:bCs/>
          <w:szCs w:val="36"/>
          <w:u w:val="single"/>
          <w:lang w:eastAsia="ru-RU"/>
        </w:rPr>
        <w:t>Заключение</w:t>
      </w:r>
      <w:r>
        <w:rPr>
          <w:rFonts w:eastAsia="Times New Roman" w:cs="Times New Roman" w:ascii="Times New Roman" w:hAnsi="Times New Roman"/>
          <w:b/>
          <w:bCs/>
          <w:sz w:val="16"/>
          <w:szCs w:val="24"/>
          <w:lang w:eastAsia="ru-RU"/>
        </w:rPr>
        <w:t>:</w:t>
      </w:r>
      <w:r>
        <w:rPr>
          <w:rFonts w:eastAsia="Times New Roman" w:cs="Times New Roman" w:ascii="Times New Roman" w:hAnsi="Times New Roman"/>
          <w:sz w:val="16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на момент исследования УЗ-признаки:</w:t>
        <w:br/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Диффузных изменений паренхимы печени, характерные для хронического воспалительного процесса, хронической гепатопатии; хронического холецистита, желчного сладжа.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Диффузных изменений паренхимы обеих почек, характерные для хронического воспалительного процесса, хронической нефропатии, нельзя исключить дегенеративные изменения.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Структурных изменений стенки желудка и 12 перстной кишки, характерные для гастродуоденита, снижения эвакуации из желудка в 12 перстную кишку.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ru-RU"/>
        </w:rPr>
        <w:t>Данное заключение не является диагнозом и должно быть клинически интерпретировано лечащим врачом.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br/>
        <w:br/>
      </w:r>
      <w:r>
        <w:rPr>
          <w:rFonts w:eastAsia="Times New Roman" w:cs="Times New Roman" w:ascii="Times New Roman" w:hAnsi="Times New Roman"/>
          <w:b/>
          <w:bCs/>
          <w:szCs w:val="36"/>
          <w:lang w:eastAsia="ru-RU"/>
        </w:rPr>
        <w:t xml:space="preserve">Ветеринарный врач: </w:t>
      </w:r>
      <w:r>
        <w:rPr>
          <w:rFonts w:eastAsia="Times New Roman" w:cs="Times New Roman" w:ascii="Times New Roman" w:hAnsi="Times New Roman"/>
          <w:b/>
          <w:bCs/>
          <w:szCs w:val="36"/>
          <w:lang w:eastAsia="ru-RU"/>
        </w:rPr>
        <w:t>Куликова Н.Е,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entury Schoolbook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06e9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2f7f9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f90ae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2f7f9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f7f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LibreOffice/7.3.7.2$Linux_X86_64 LibreOffice_project/30$Build-2</Application>
  <AppVersion>15.0000</AppVersion>
  <Pages>2</Pages>
  <Words>553</Words>
  <Characters>4253</Characters>
  <CharactersWithSpaces>5624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2020-03-01T17:03:00Z</dcterms:created>
  <dc:creator>User</dc:creator>
  <dc:description/>
  <dc:language>ru-RU</dc:language>
  <cp:lastModifiedBy/>
  <dcterms:modified xsi:type="dcterms:W3CDTF">2025-01-14T19:29:03Z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