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E23" w:rsidRDefault="00D81E23" w:rsidP="00D81E23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D81E23" w:rsidRDefault="00D81E23" w:rsidP="00D81E23">
      <w:pPr>
        <w:pStyle w:val="a3"/>
        <w:spacing w:after="278"/>
      </w:pPr>
      <w:proofErr w:type="spellStart"/>
      <w:r>
        <w:rPr>
          <w:b/>
          <w:bCs/>
        </w:rPr>
        <w:t>Ухина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.Х</w:t>
      </w:r>
      <w:proofErr w:type="gramEnd"/>
      <w:r>
        <w:rPr>
          <w:b/>
          <w:bCs/>
        </w:rPr>
        <w:t>арлей</w:t>
      </w:r>
      <w:proofErr w:type="spellEnd"/>
    </w:p>
    <w:p w:rsidR="00D81E23" w:rsidRDefault="00D81E23" w:rsidP="00D81E23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повышена. Оценка венозной системы: без особенностей. Наличие очаговых или диффузных изменений: в области хвостатой доли визуализируется </w:t>
      </w:r>
      <w:proofErr w:type="spellStart"/>
      <w:r>
        <w:t>аваскулярное</w:t>
      </w:r>
      <w:proofErr w:type="spellEnd"/>
      <w:r>
        <w:t xml:space="preserve"> </w:t>
      </w:r>
      <w:proofErr w:type="spellStart"/>
      <w:r>
        <w:t>анэхогенное</w:t>
      </w:r>
      <w:proofErr w:type="spellEnd"/>
      <w:r>
        <w:t xml:space="preserve"> образование имеющее вид сложной кисты с чёт</w:t>
      </w:r>
      <w:r w:rsidR="00503955">
        <w:t>кими контурами, размером 11*14,1</w:t>
      </w:r>
      <w:r>
        <w:t xml:space="preserve">мм, в области правых долей визуализируется схожее образование размером </w:t>
      </w:r>
      <w:r w:rsidR="00503955">
        <w:t>4,4*4,9</w:t>
      </w:r>
      <w:r>
        <w:t>мм.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>
        <w:t xml:space="preserve"> с наличием небольшого количества </w:t>
      </w:r>
      <w:proofErr w:type="spellStart"/>
      <w:r>
        <w:t>гипоэхогенн</w:t>
      </w:r>
      <w:r w:rsidR="00C7199F">
        <w:t>ого</w:t>
      </w:r>
      <w:proofErr w:type="spellEnd"/>
      <w:r w:rsidR="00C7199F">
        <w:t xml:space="preserve"> </w:t>
      </w:r>
      <w:proofErr w:type="spellStart"/>
      <w:r w:rsidR="00C7199F">
        <w:t>сладжа</w:t>
      </w:r>
      <w:proofErr w:type="spellEnd"/>
      <w:r w:rsidR="00C7199F">
        <w:t>. Стенка не утолщена 0,7</w:t>
      </w:r>
      <w:r>
        <w:t xml:space="preserve"> мм, уплотнена. Желчные протоки не расширены. </w:t>
      </w:r>
    </w:p>
    <w:p w:rsidR="00D81E23" w:rsidRDefault="00D81E23" w:rsidP="00D81E23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</w:t>
      </w:r>
      <w:r w:rsidR="00503955">
        <w:t>павшийся</w:t>
      </w:r>
      <w:proofErr w:type="gramEnd"/>
      <w:r>
        <w:t xml:space="preserve">. </w:t>
      </w:r>
      <w:r w:rsidR="00503955">
        <w:t>Толщина стенки: 2,4</w:t>
      </w:r>
      <w:r>
        <w:t xml:space="preserve">мм. Дифференциация слоев стенки: сохранена, слизистый слой повышенный </w:t>
      </w:r>
      <w:proofErr w:type="spellStart"/>
      <w:r>
        <w:t>эхогенности</w:t>
      </w:r>
      <w:proofErr w:type="spellEnd"/>
      <w:r w:rsidR="00C7199F">
        <w:t xml:space="preserve">, выражен </w:t>
      </w:r>
      <w:proofErr w:type="spellStart"/>
      <w:r w:rsidR="00C7199F">
        <w:t>подслизистый</w:t>
      </w:r>
      <w:proofErr w:type="spellEnd"/>
      <w:r w:rsidR="00C7199F">
        <w:t xml:space="preserve"> слой</w:t>
      </w:r>
      <w:r>
        <w:t>. Складчатость: сохранена. Эвакуация: с</w:t>
      </w:r>
      <w:r w:rsidR="00503955">
        <w:t>охранена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</w:t>
      </w:r>
      <w:r w:rsidR="00503955">
        <w:t>ка сохранена. Толщина стенки 2,4</w:t>
      </w:r>
      <w:r>
        <w:t xml:space="preserve"> мм. Дифференциация слоев стенки сохранена</w:t>
      </w:r>
      <w:r w:rsidR="00C7199F">
        <w:t xml:space="preserve">, в слизистом слое локально визуализируются </w:t>
      </w:r>
      <w:proofErr w:type="spellStart"/>
      <w:r w:rsidR="00C7199F">
        <w:t>гипоэхогенные</w:t>
      </w:r>
      <w:proofErr w:type="spellEnd"/>
      <w:r w:rsidR="00C7199F">
        <w:t xml:space="preserve"> точечные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2,2мм. Дифференциация слоев стенки сохранена, в слизистом слое локально визуализируются </w:t>
      </w:r>
      <w:proofErr w:type="spellStart"/>
      <w:r>
        <w:t>гипоэхогенные</w:t>
      </w:r>
      <w:proofErr w:type="spellEnd"/>
      <w:r>
        <w:t xml:space="preserve"> точечные включения.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1мм.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</w:t>
      </w:r>
      <w:r w:rsidR="00C7199F">
        <w:t>змер: увеличена: левая доля 10,4мм, правая доля 11</w:t>
      </w:r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диффузно повышена. Проток расширен слева до </w:t>
      </w:r>
      <w:r w:rsidR="00503955">
        <w:t>30мм, в области тела 6,1</w:t>
      </w:r>
      <w:r>
        <w:t xml:space="preserve">мм, справа </w:t>
      </w:r>
      <w:r w:rsidR="00503955">
        <w:t>2</w:t>
      </w:r>
      <w:r>
        <w:t xml:space="preserve">мм.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</w:t>
      </w:r>
      <w:proofErr w:type="gramStart"/>
      <w:r>
        <w:t>повышена</w:t>
      </w:r>
      <w:proofErr w:type="gramEnd"/>
      <w:r>
        <w:t>.</w:t>
      </w:r>
    </w:p>
    <w:p w:rsidR="00D81E23" w:rsidRDefault="00D81E23" w:rsidP="00D81E23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30*22,8мм. Положение: анатомически правильное. Форма округлая. Контуры ровные, четкие. Структура паренхимы: неоднородная.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503955">
        <w:t>икомедулярная</w:t>
      </w:r>
      <w:proofErr w:type="spellEnd"/>
      <w:r w:rsidR="00503955">
        <w:t xml:space="preserve"> дифференциация: сглажена</w:t>
      </w:r>
      <w:r>
        <w:t xml:space="preserve">. </w:t>
      </w:r>
      <w:r>
        <w:lastRenderedPageBreak/>
        <w:t>Лоханка расширена до 2,6мм. Проксимальный отдел мочеточника: расширен до 2,5мм, далее спадается. Дистальный отдел мочеточника: не расширен. Наличие очаговых или диффузных изменений: визуализируются.</w:t>
      </w:r>
      <w:r>
        <w:br/>
      </w:r>
      <w:r>
        <w:br/>
      </w:r>
      <w:r>
        <w:rPr>
          <w:b/>
          <w:bCs/>
        </w:rPr>
        <w:t xml:space="preserve">Правая почка: </w:t>
      </w:r>
      <w:r w:rsidR="00503955">
        <w:t>визуализируется. Размер: 32,1*20</w:t>
      </w:r>
      <w:r>
        <w:t xml:space="preserve">мм. Положение: анатомически правильное. Форма округлая. Контуры ровные, четкие. Структура паренхимы: неоднородная.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503955">
        <w:t>икомедулярная</w:t>
      </w:r>
      <w:proofErr w:type="spellEnd"/>
      <w:r w:rsidR="00503955">
        <w:t xml:space="preserve"> дифференциация: сглажена</w:t>
      </w:r>
      <w:r>
        <w:t>. Лоханка слабо расширена до 1,2 мм. Проксимальный отдел мочеточника: не расширен. Дистальный отдел мочеточника: не расширен. Наличие очаговых или диффузных изменений: визуализируются.</w:t>
      </w:r>
    </w:p>
    <w:p w:rsidR="00D81E23" w:rsidRDefault="00D81E23" w:rsidP="00D81E23">
      <w:pPr>
        <w:pStyle w:val="a3"/>
        <w:spacing w:after="278"/>
      </w:pPr>
      <w:r>
        <w:br/>
      </w: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 w:rsidR="00503955">
        <w:t xml:space="preserve"> визуализируется. Размер 8,4*3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C7199F">
        <w:t>6,4*2,3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D81E23" w:rsidRDefault="00D81E23" w:rsidP="00D81E23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D81E23" w:rsidRDefault="00D81E23" w:rsidP="00D81E23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1 мм. Содержимое: </w:t>
      </w:r>
      <w:proofErr w:type="spellStart"/>
      <w:r>
        <w:t>анэхогенное</w:t>
      </w:r>
      <w:proofErr w:type="spellEnd"/>
      <w:r>
        <w:t xml:space="preserve"> с наличием небольшого количества </w:t>
      </w:r>
      <w:proofErr w:type="spellStart"/>
      <w:r>
        <w:t>гипоэхогенной</w:t>
      </w:r>
      <w:proofErr w:type="spellEnd"/>
      <w:r>
        <w:t xml:space="preserve"> взвеси.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</w:p>
    <w:p w:rsidR="00D81E23" w:rsidRDefault="00D81E23" w:rsidP="00D81E23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 визуализируется следовое количество в области </w:t>
      </w:r>
      <w:r w:rsidR="00C7199F">
        <w:t>тела селезёнки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>
        <w:t xml:space="preserve"> локально в области </w:t>
      </w:r>
      <w:r w:rsidR="00C7199F">
        <w:t>всех долей поджелудочной железы.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D81E23" w:rsidRDefault="00D81E23" w:rsidP="00D81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панкреомегалии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диффузных изменений паренхимы поджелудочной железы с признаками локального стеатита</w:t>
      </w:r>
      <w:r w:rsidR="00C7199F">
        <w:rPr>
          <w:rFonts w:ascii="Times New Roman" w:hAnsi="Times New Roman" w:cs="Times New Roman"/>
          <w:sz w:val="24"/>
          <w:szCs w:val="24"/>
        </w:rPr>
        <w:t xml:space="preserve"> и следовым количеством свободной жидкости</w:t>
      </w:r>
      <w:r>
        <w:rPr>
          <w:rFonts w:ascii="Times New Roman" w:hAnsi="Times New Roman" w:cs="Times New Roman"/>
          <w:sz w:val="24"/>
          <w:szCs w:val="24"/>
        </w:rPr>
        <w:t>, что может быть характерно для панкреатита хронического течения в стадии обострения/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изменений; дилатации протока поджелудочной железы, что может быть в норме для данной возрастной группы</w:t>
      </w:r>
    </w:p>
    <w:p w:rsidR="00D81E23" w:rsidRDefault="00D81E23" w:rsidP="00D81E23">
      <w:pPr>
        <w:pStyle w:val="a3"/>
        <w:spacing w:after="278"/>
      </w:pPr>
      <w:r>
        <w:t xml:space="preserve">- диффузных изменений стенки желудка, что характерно для гастрита в </w:t>
      </w:r>
      <w:r w:rsidR="00C7199F">
        <w:t xml:space="preserve">слабовыраженной </w:t>
      </w:r>
      <w:r>
        <w:t>стадии обострения</w:t>
      </w:r>
      <w:r w:rsidR="00C7199F">
        <w:t xml:space="preserve"> – слабоположительная динамика по сравнению с исследованием от 15.11</w:t>
      </w:r>
    </w:p>
    <w:p w:rsidR="00D81E23" w:rsidRDefault="00D81E23" w:rsidP="00D81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хронической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гастроэнтеропатии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а также дополнительных точечных включений в слизистом слое тонкого кишечника, что может быть характерно для ВЗК (группы воспалительных заболеваний кишечника)</w:t>
      </w:r>
    </w:p>
    <w:p w:rsidR="00D81E23" w:rsidRDefault="00D81E23" w:rsidP="00D81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изменений,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всвязи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наличием локального стеатита слева нельзя исключать стадию обострения</w:t>
      </w:r>
    </w:p>
    <w:p w:rsidR="00D81E23" w:rsidRDefault="00D81E23" w:rsidP="00D81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7199F">
        <w:rPr>
          <w:rFonts w:ascii="Times New Roman" w:hAnsi="Times New Roman" w:cs="Times New Roman"/>
          <w:sz w:val="24"/>
          <w:szCs w:val="24"/>
        </w:rPr>
        <w:t>умеренной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="00C7199F">
        <w:rPr>
          <w:rFonts w:ascii="Times New Roman" w:hAnsi="Times New Roman" w:cs="Times New Roman"/>
          <w:sz w:val="24"/>
          <w:szCs w:val="24"/>
        </w:rPr>
        <w:t xml:space="preserve"> слева</w:t>
      </w:r>
      <w:r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нельзя исключать х</w:t>
      </w:r>
      <w:r w:rsidR="00C7199F">
        <w:rPr>
          <w:rFonts w:ascii="Times New Roman" w:hAnsi="Times New Roman" w:cs="Times New Roman"/>
          <w:sz w:val="24"/>
          <w:szCs w:val="24"/>
        </w:rPr>
        <w:t xml:space="preserve">ронический пиелит, </w:t>
      </w:r>
      <w:proofErr w:type="spellStart"/>
      <w:r w:rsidR="00C7199F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="00C7199F">
        <w:rPr>
          <w:rFonts w:ascii="Times New Roman" w:hAnsi="Times New Roman" w:cs="Times New Roman"/>
          <w:sz w:val="24"/>
          <w:szCs w:val="24"/>
        </w:rPr>
        <w:t>) – отрицательная динамика по сравнению с исследованием от 15.11</w:t>
      </w:r>
    </w:p>
    <w:p w:rsidR="00D81E23" w:rsidRDefault="00D81E23" w:rsidP="00D81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паренхимы печени, характерных для гепатита хронического течения/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дистрофии, наличия образований по типу сложных кист, нельзя исключать образования иного генеза</w:t>
      </w:r>
      <w:r w:rsidR="00C7199F">
        <w:rPr>
          <w:rFonts w:ascii="Times New Roman" w:hAnsi="Times New Roman" w:cs="Times New Roman"/>
          <w:sz w:val="24"/>
          <w:szCs w:val="24"/>
        </w:rPr>
        <w:t xml:space="preserve"> – без выраженной динамики по сравнению с исследованием от 15.11</w:t>
      </w:r>
    </w:p>
    <w:p w:rsidR="00D81E23" w:rsidRDefault="00D81E23" w:rsidP="00D81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уплотнения стенок желчного пузыря и наличия небольшого количества </w:t>
      </w:r>
      <w:proofErr w:type="spellStart"/>
      <w:r w:rsidR="00C7199F">
        <w:rPr>
          <w:rFonts w:ascii="Times New Roman" w:hAnsi="Times New Roman" w:cs="Times New Roman"/>
          <w:sz w:val="24"/>
          <w:szCs w:val="24"/>
        </w:rPr>
        <w:t>сладжа</w:t>
      </w:r>
      <w:proofErr w:type="spellEnd"/>
      <w:r>
        <w:rPr>
          <w:rFonts w:ascii="Times New Roman" w:hAnsi="Times New Roman" w:cs="Times New Roman"/>
          <w:sz w:val="24"/>
          <w:szCs w:val="24"/>
        </w:rPr>
        <w:t>, что может быть характерно для хронического холецистита</w:t>
      </w:r>
      <w:r w:rsidR="00C7199F">
        <w:rPr>
          <w:rFonts w:ascii="Times New Roman" w:hAnsi="Times New Roman" w:cs="Times New Roman"/>
          <w:sz w:val="24"/>
          <w:szCs w:val="24"/>
        </w:rPr>
        <w:t xml:space="preserve"> – отрицательная динамика по сравнению с исследованием от 15.11</w:t>
      </w:r>
    </w:p>
    <w:p w:rsidR="00D81E23" w:rsidRDefault="00D81E23" w:rsidP="00D81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небольшого количества взвеси в полости мочевого пузыря</w:t>
      </w:r>
    </w:p>
    <w:p w:rsidR="00D81E23" w:rsidRDefault="00D81E23" w:rsidP="00D81E23">
      <w:pPr>
        <w:pStyle w:val="a3"/>
        <w:spacing w:after="278"/>
      </w:pPr>
    </w:p>
    <w:p w:rsidR="00D81E23" w:rsidRDefault="00D81E23" w:rsidP="00D81E23">
      <w:pPr>
        <w:pStyle w:val="a3"/>
        <w:spacing w:after="278"/>
      </w:pPr>
    </w:p>
    <w:p w:rsidR="00D81E23" w:rsidRDefault="00D81E23" w:rsidP="00D81E23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EC6C3F" w:rsidRPr="00D81E23" w:rsidRDefault="00EC6C3F">
      <w:pPr>
        <w:rPr>
          <w:rFonts w:ascii="Times New Roman" w:hAnsi="Times New Roman" w:cs="Times New Roman"/>
          <w:sz w:val="24"/>
          <w:szCs w:val="24"/>
        </w:rPr>
      </w:pPr>
    </w:p>
    <w:sectPr w:rsidR="00EC6C3F" w:rsidRPr="00D81E23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03955"/>
    <w:rsid w:val="00554EEC"/>
    <w:rsid w:val="0078166F"/>
    <w:rsid w:val="009E2C9E"/>
    <w:rsid w:val="00BB4038"/>
    <w:rsid w:val="00C7199F"/>
    <w:rsid w:val="00CE5AB0"/>
    <w:rsid w:val="00D81E23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1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2024-11-29T10:50:00Z</dcterms:created>
  <dcterms:modified xsi:type="dcterms:W3CDTF">2024-11-29T10:50:00Z</dcterms:modified>
</cp:coreProperties>
</file>