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AB412C" w:rsidRDefault="00AB412C" w:rsidP="00554EEC">
      <w:pPr>
        <w:pStyle w:val="a3"/>
        <w:spacing w:after="278"/>
      </w:pPr>
      <w:proofErr w:type="spellStart"/>
      <w:r>
        <w:rPr>
          <w:b/>
          <w:bCs/>
        </w:rPr>
        <w:t>Тескер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.Д</w:t>
      </w:r>
      <w:proofErr w:type="gramEnd"/>
      <w:r>
        <w:rPr>
          <w:b/>
          <w:bCs/>
        </w:rPr>
        <w:t>эби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AB412C">
        <w:t>эхогенное</w:t>
      </w:r>
      <w:proofErr w:type="spellEnd"/>
      <w:r w:rsidR="00AB412C">
        <w:t>. Стенка не утолщена, 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AB412C">
        <w:t xml:space="preserve">. </w:t>
      </w:r>
      <w:r>
        <w:t xml:space="preserve">Толщина стенки: </w:t>
      </w:r>
      <w:r w:rsidR="00AB412C">
        <w:t>2,1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AB412C">
        <w:t xml:space="preserve">2 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AB412C">
        <w:t>1,6-2,1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AB412C">
        <w:t>1,2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AB412C">
        <w:t>34,2*18,7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AB412C">
        <w:t>31,6*19,5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>
        <w:lastRenderedPageBreak/>
        <w:t xml:space="preserve">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 </w:t>
      </w:r>
      <w:r w:rsidR="00AB412C">
        <w:t>8*2,6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</w:t>
      </w:r>
      <w:r w:rsidR="00AB412C">
        <w:t xml:space="preserve">не </w:t>
      </w:r>
      <w:r>
        <w:t>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</w:t>
      </w:r>
      <w:r w:rsidR="00AB412C">
        <w:t>не</w:t>
      </w:r>
      <w:r>
        <w:t xml:space="preserve">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AB412C">
        <w:t>0,8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AB412C">
        <w:t xml:space="preserve">, с наличием небольшого количества </w:t>
      </w:r>
      <w:proofErr w:type="spellStart"/>
      <w:r w:rsidR="00AB412C">
        <w:t>гипоэхогенной</w:t>
      </w:r>
      <w:proofErr w:type="spellEnd"/>
      <w:r w:rsidR="00AB412C">
        <w:t xml:space="preserve"> </w:t>
      </w:r>
      <w:proofErr w:type="spellStart"/>
      <w:r w:rsidR="00AB412C">
        <w:t>флотирующей</w:t>
      </w:r>
      <w:proofErr w:type="spellEnd"/>
      <w:r w:rsidR="00AB412C">
        <w:t xml:space="preserve">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AB412C">
        <w:t xml:space="preserve">не </w:t>
      </w:r>
      <w:r>
        <w:t>визуализируется.</w:t>
      </w:r>
      <w:r w:rsidR="00AB412C">
        <w:t xml:space="preserve"> (ОГЭ)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AB412C" w:rsidP="00554EEC">
      <w:pPr>
        <w:pStyle w:val="a3"/>
        <w:spacing w:after="278"/>
      </w:pPr>
      <w:r>
        <w:t>- наличия небольшого количества взвеси в мочевом пузыре</w:t>
      </w:r>
    </w:p>
    <w:p w:rsidR="00AB412C" w:rsidRPr="00935BBB" w:rsidRDefault="00AB412C" w:rsidP="00AB412C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диффузных изменений паренхимы селезенки, характерных для хронической вирусной инфекции кошек/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микронодулярной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гиперплазии/ экстрамедуллярного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гемопоэза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спленита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>/ нельзя полностью исключать диффузный неопластический процесс и образования различного типа</w:t>
      </w:r>
    </w:p>
    <w:p w:rsidR="00AB412C" w:rsidRDefault="00AB412C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914CA0"/>
    <w:rsid w:val="009E2C9E"/>
    <w:rsid w:val="00AB412C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2024-11-27T11:46:00Z</dcterms:created>
  <dcterms:modified xsi:type="dcterms:W3CDTF">2024-11-27T11:46:00Z</dcterms:modified>
</cp:coreProperties>
</file>