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937B22" w:rsidRDefault="00937B22" w:rsidP="00423DC2">
      <w:pPr>
        <w:pStyle w:val="a3"/>
        <w:spacing w:after="278"/>
      </w:pPr>
      <w:proofErr w:type="spellStart"/>
      <w:r>
        <w:rPr>
          <w:b/>
          <w:bCs/>
        </w:rPr>
        <w:t>Солдатенкова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.Х</w:t>
      </w:r>
      <w:proofErr w:type="gramEnd"/>
      <w:r>
        <w:rPr>
          <w:b/>
          <w:bCs/>
        </w:rPr>
        <w:t>арлей</w:t>
      </w:r>
      <w:proofErr w:type="spellEnd"/>
    </w:p>
    <w:p w:rsidR="00937B22" w:rsidRDefault="00423DC2" w:rsidP="00937B22">
      <w:pPr>
        <w:pStyle w:val="a3"/>
        <w:spacing w:after="278"/>
        <w:rPr>
          <w:b/>
          <w:bCs/>
        </w:rPr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937B22">
        <w:t xml:space="preserve"> </w:t>
      </w:r>
      <w:r w:rsidR="00937B22">
        <w:br/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937B22">
        <w:t>43,8*22,2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 w:rsidR="00937B22">
        <w:t>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 xml:space="preserve">: </w:t>
      </w:r>
      <w:r w:rsidR="00937B22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937B22">
        <w:t>44,3*21,4</w:t>
      </w:r>
      <w:r>
        <w:t xml:space="preserve">мм. Положение: анатомически </w:t>
      </w:r>
      <w:r w:rsidR="00937B22">
        <w:t xml:space="preserve">правильное. Форма бобовидная. Контуры ровные, четкие. Структура паренхимы: неоднородная. </w:t>
      </w:r>
      <w:proofErr w:type="spellStart"/>
      <w:r w:rsidR="00937B22">
        <w:t>Эхогенность</w:t>
      </w:r>
      <w:proofErr w:type="spellEnd"/>
      <w:r w:rsidR="00937B22">
        <w:t xml:space="preserve">: повышена. </w:t>
      </w:r>
      <w:proofErr w:type="spellStart"/>
      <w:r w:rsidR="00937B22">
        <w:t>Кортикомедулярная</w:t>
      </w:r>
      <w:proofErr w:type="spellEnd"/>
      <w:r w:rsidR="00937B22"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937B22" w:rsidRDefault="00423DC2" w:rsidP="00937B22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937B22">
        <w:t>слабо</w:t>
      </w:r>
      <w:r>
        <w:t xml:space="preserve"> </w:t>
      </w:r>
      <w:proofErr w:type="gramStart"/>
      <w:r>
        <w:t>наполнен</w:t>
      </w:r>
      <w:proofErr w:type="gramEnd"/>
      <w:r>
        <w:t>. Толщина стенки:</w:t>
      </w:r>
      <w:r w:rsidR="00937B22">
        <w:t xml:space="preserve"> утолщена до 6,6</w:t>
      </w:r>
      <w:r>
        <w:t xml:space="preserve"> мм</w:t>
      </w:r>
      <w:r w:rsidR="00937B22">
        <w:t>, бугристая</w:t>
      </w:r>
      <w:r>
        <w:t xml:space="preserve">. Содержимое: </w:t>
      </w:r>
      <w:proofErr w:type="spellStart"/>
      <w:r>
        <w:t>анэхогенное</w:t>
      </w:r>
      <w:proofErr w:type="spellEnd"/>
      <w:r w:rsidR="00937B22">
        <w:t xml:space="preserve"> с наличием </w:t>
      </w:r>
      <w:proofErr w:type="spellStart"/>
      <w:r w:rsidR="00937B22">
        <w:t>гиперэхогенной</w:t>
      </w:r>
      <w:proofErr w:type="spellEnd"/>
      <w:r w:rsidR="00937B22">
        <w:t xml:space="preserve"> осаждаемой взвеси в умеренном количестве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937B22">
        <w:t>расширен, стенки не утолщены.</w:t>
      </w:r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23DC2" w:rsidRDefault="00937B22" w:rsidP="00423DC2">
      <w:pPr>
        <w:pStyle w:val="a3"/>
        <w:spacing w:after="278"/>
      </w:pPr>
      <w:r>
        <w:t>- Диффузного утолщения стенки мочевого пузыря с наличием умеренного количества взвеси, что характерно для цистита в стадии обострения</w:t>
      </w:r>
    </w:p>
    <w:p w:rsidR="00937B22" w:rsidRPr="00935BBB" w:rsidRDefault="00937B22" w:rsidP="00937B22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935BBB">
        <w:rPr>
          <w:rFonts w:ascii="Times New Roman" w:hAnsi="Times New Roman" w:cs="Times New Roman"/>
          <w:sz w:val="24"/>
          <w:szCs w:val="24"/>
        </w:rPr>
        <w:t>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937B22" w:rsidRDefault="00937B22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B97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937B22"/>
    <w:rsid w:val="00B97D55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D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2024-11-21T16:59:00Z</dcterms:created>
  <dcterms:modified xsi:type="dcterms:W3CDTF">2024-11-21T16:59:00Z</dcterms:modified>
</cp:coreProperties>
</file>