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3C392E" w:rsidRDefault="003C392E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Звиададзе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.Ц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ири</w:t>
      </w:r>
      <w:proofErr w:type="spellEnd"/>
    </w:p>
    <w:p w:rsidR="003C392E" w:rsidRDefault="003C392E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умеренно наполнен</w:t>
      </w:r>
      <w:r w:rsidR="003C392E">
        <w:rPr>
          <w:rFonts w:ascii="Times New Roman" w:hAnsi="Times New Roman" w:cs="Times New Roman"/>
          <w:sz w:val="24"/>
          <w:szCs w:val="24"/>
        </w:rPr>
        <w:t xml:space="preserve">.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  <w:r w:rsidR="003C392E">
        <w:rPr>
          <w:rFonts w:ascii="Times New Roman" w:hAnsi="Times New Roman" w:cs="Times New Roman"/>
          <w:sz w:val="24"/>
          <w:szCs w:val="24"/>
        </w:rPr>
        <w:t xml:space="preserve"> и газ</w:t>
      </w:r>
      <w:r w:rsidRPr="00AC6382">
        <w:rPr>
          <w:rFonts w:ascii="Times New Roman" w:hAnsi="Times New Roman" w:cs="Times New Roman"/>
          <w:sz w:val="24"/>
          <w:szCs w:val="24"/>
        </w:rPr>
        <w:t>. Складчатость с</w:t>
      </w:r>
      <w:r w:rsidR="003C392E">
        <w:rPr>
          <w:rFonts w:ascii="Times New Roman" w:hAnsi="Times New Roman" w:cs="Times New Roman"/>
          <w:sz w:val="24"/>
          <w:szCs w:val="24"/>
        </w:rPr>
        <w:t>глажена</w:t>
      </w:r>
      <w:r w:rsidRPr="00AC6382">
        <w:rPr>
          <w:rFonts w:ascii="Times New Roman" w:hAnsi="Times New Roman" w:cs="Times New Roman"/>
          <w:sz w:val="24"/>
          <w:szCs w:val="24"/>
        </w:rPr>
        <w:t>. Эвакуация: с</w:t>
      </w:r>
      <w:r w:rsidR="003C392E">
        <w:rPr>
          <w:rFonts w:ascii="Times New Roman" w:hAnsi="Times New Roman" w:cs="Times New Roman"/>
          <w:sz w:val="24"/>
          <w:szCs w:val="24"/>
        </w:rPr>
        <w:t>нижена – тенденция к атонии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3C392E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3C392E">
        <w:rPr>
          <w:rFonts w:ascii="Times New Roman" w:hAnsi="Times New Roman" w:cs="Times New Roman"/>
          <w:sz w:val="24"/>
          <w:szCs w:val="24"/>
        </w:rPr>
        <w:t>умеренно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3C39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392E">
        <w:rPr>
          <w:rFonts w:ascii="Times New Roman" w:hAnsi="Times New Roman" w:cs="Times New Roman"/>
          <w:sz w:val="24"/>
          <w:szCs w:val="24"/>
        </w:rPr>
        <w:t>анэхогенным</w:t>
      </w:r>
      <w:proofErr w:type="spellEnd"/>
      <w:r w:rsidR="003C392E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сохранена. Просвет</w:t>
      </w:r>
      <w:r w:rsidR="003C392E">
        <w:t xml:space="preserve"> слабо</w:t>
      </w:r>
      <w:r w:rsidRPr="00AC6382">
        <w:t xml:space="preserve"> расширен</w:t>
      </w:r>
      <w:r w:rsidR="003C392E">
        <w:t xml:space="preserve"> </w:t>
      </w:r>
      <w:proofErr w:type="spellStart"/>
      <w:r w:rsidR="003C392E">
        <w:t>гипоэхогенным</w:t>
      </w:r>
      <w:proofErr w:type="spellEnd"/>
      <w:r w:rsidR="003C392E">
        <w:t xml:space="preserve"> содержимым и газом</w:t>
      </w:r>
      <w:r w:rsidRPr="00AC6382"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3C392E" w:rsidRDefault="003C392E" w:rsidP="003C39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Pr="00935BBB">
        <w:rPr>
          <w:rFonts w:ascii="Times New Roman" w:hAnsi="Times New Roman" w:cs="Times New Roman"/>
          <w:sz w:val="24"/>
          <w:szCs w:val="24"/>
        </w:rPr>
        <w:t>невматизации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желудочно-кишечного тракта (не характерно для кошек в норме, может встречаться на фоне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аэрофагии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гипотонии,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гипокалиемии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заболеваний верхних дыхательных путей)</w:t>
      </w:r>
    </w:p>
    <w:p w:rsidR="003C392E" w:rsidRDefault="003C392E" w:rsidP="003C39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Сниженной эвакуации из желудка – тенденция к атонии – рекомендована оценка в динамике</w:t>
      </w:r>
    </w:p>
    <w:p w:rsidR="003C392E" w:rsidRPr="00935BBB" w:rsidRDefault="003C392E" w:rsidP="003C39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Сниженной перистальтики двенадцатиперстной кишки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384A34"/>
    <w:rsid w:val="003C392E"/>
    <w:rsid w:val="006E4B3D"/>
    <w:rsid w:val="007B57B8"/>
    <w:rsid w:val="008B60F8"/>
    <w:rsid w:val="009327D3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2024-11-21T10:06:00Z</dcterms:created>
  <dcterms:modified xsi:type="dcterms:W3CDTF">2024-11-21T10:06:00Z</dcterms:modified>
</cp:coreProperties>
</file>