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E044A8" w:rsidRDefault="00E044A8" w:rsidP="00423DC2">
      <w:pPr>
        <w:pStyle w:val="a3"/>
        <w:spacing w:after="278"/>
      </w:pPr>
      <w:r>
        <w:rPr>
          <w:b/>
          <w:bCs/>
        </w:rPr>
        <w:t xml:space="preserve">Ветров,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аффин</w:t>
      </w:r>
      <w:proofErr w:type="spellEnd"/>
    </w:p>
    <w:p w:rsidR="00423DC2" w:rsidRDefault="00423DC2" w:rsidP="00E044A8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E044A8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044A8">
        <w:t>83,5*44,5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E044A8">
        <w:t>овых или диффузных изменений: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E044A8">
        <w:t>83,6*50,5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E044A8">
        <w:t>овых или диффузных изменений:</w:t>
      </w:r>
      <w:r>
        <w:t xml:space="preserve"> визуализируется.</w:t>
      </w:r>
    </w:p>
    <w:p w:rsidR="00423DC2" w:rsidRPr="004C509C" w:rsidRDefault="00423DC2" w:rsidP="004C509C">
      <w:pPr>
        <w:rPr>
          <w:rFonts w:ascii="Segoe UI" w:eastAsia="Times New Roman" w:hAnsi="Segoe UI" w:cs="Segoe UI"/>
          <w:sz w:val="28"/>
          <w:szCs w:val="28"/>
        </w:rPr>
      </w:pPr>
      <w:r w:rsidRPr="004C509C">
        <w:rPr>
          <w:rFonts w:ascii="Times New Roman" w:hAnsi="Times New Roman" w:cs="Times New Roman"/>
          <w:b/>
          <w:bCs/>
          <w:sz w:val="24"/>
          <w:szCs w:val="24"/>
        </w:rPr>
        <w:t>Мочевой пузырь:</w:t>
      </w:r>
      <w:r w:rsidRPr="004C509C">
        <w:rPr>
          <w:rFonts w:ascii="Times New Roman" w:hAnsi="Times New Roman" w:cs="Times New Roman"/>
          <w:sz w:val="24"/>
          <w:szCs w:val="24"/>
        </w:rPr>
        <w:t xml:space="preserve"> визуализируется. Степень наполнения: умеренно </w:t>
      </w:r>
      <w:proofErr w:type="gramStart"/>
      <w:r w:rsidRPr="004C509C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4C509C">
        <w:rPr>
          <w:rFonts w:ascii="Times New Roman" w:hAnsi="Times New Roman" w:cs="Times New Roman"/>
          <w:sz w:val="24"/>
          <w:szCs w:val="24"/>
        </w:rPr>
        <w:t xml:space="preserve">. Толщина стенки: </w:t>
      </w:r>
      <w:r w:rsidR="004C509C">
        <w:rPr>
          <w:rFonts w:ascii="Times New Roman" w:hAnsi="Times New Roman" w:cs="Times New Roman"/>
          <w:sz w:val="24"/>
          <w:szCs w:val="24"/>
        </w:rPr>
        <w:t xml:space="preserve">в области </w:t>
      </w:r>
      <w:proofErr w:type="spellStart"/>
      <w:r w:rsidR="004C509C">
        <w:rPr>
          <w:rFonts w:ascii="Times New Roman" w:hAnsi="Times New Roman" w:cs="Times New Roman"/>
          <w:sz w:val="24"/>
          <w:szCs w:val="24"/>
        </w:rPr>
        <w:t>тригона</w:t>
      </w:r>
      <w:proofErr w:type="spellEnd"/>
      <w:r w:rsidR="004C509C">
        <w:rPr>
          <w:rFonts w:ascii="Times New Roman" w:hAnsi="Times New Roman" w:cs="Times New Roman"/>
          <w:sz w:val="24"/>
          <w:szCs w:val="24"/>
        </w:rPr>
        <w:t xml:space="preserve"> </w:t>
      </w:r>
      <w:r w:rsidR="00E044A8" w:rsidRPr="004C509C">
        <w:rPr>
          <w:rFonts w:ascii="Times New Roman" w:hAnsi="Times New Roman" w:cs="Times New Roman"/>
          <w:sz w:val="24"/>
          <w:szCs w:val="24"/>
        </w:rPr>
        <w:t xml:space="preserve">3,6мм, </w:t>
      </w:r>
      <w:r w:rsidR="004C509C" w:rsidRPr="004C509C">
        <w:rPr>
          <w:rFonts w:ascii="Times New Roman" w:eastAsia="Times New Roman" w:hAnsi="Times New Roman" w:cs="Times New Roman"/>
          <w:sz w:val="24"/>
          <w:szCs w:val="24"/>
        </w:rPr>
        <w:t>в области верхушки выражено утолщение с потерей дифференциации слоев до 12мм, в этой области стенка бугристая, неоднородная</w:t>
      </w:r>
      <w:r w:rsidRPr="004C509C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4C509C">
        <w:rPr>
          <w:rFonts w:ascii="Times New Roman" w:hAnsi="Times New Roman" w:cs="Times New Roman"/>
          <w:sz w:val="24"/>
          <w:szCs w:val="24"/>
        </w:rPr>
        <w:t>анэхогенное</w:t>
      </w:r>
      <w:proofErr w:type="spellEnd"/>
      <w:r w:rsidR="00E044A8" w:rsidRPr="004C509C">
        <w:rPr>
          <w:rFonts w:ascii="Times New Roman" w:hAnsi="Times New Roman" w:cs="Times New Roman"/>
          <w:sz w:val="24"/>
          <w:szCs w:val="24"/>
        </w:rPr>
        <w:t xml:space="preserve"> с наличием небольшого количества </w:t>
      </w:r>
      <w:proofErr w:type="spellStart"/>
      <w:r w:rsidR="00E044A8" w:rsidRPr="004C509C">
        <w:rPr>
          <w:rFonts w:ascii="Times New Roman" w:hAnsi="Times New Roman" w:cs="Times New Roman"/>
          <w:sz w:val="24"/>
          <w:szCs w:val="24"/>
        </w:rPr>
        <w:t>гипоэхогенной</w:t>
      </w:r>
      <w:proofErr w:type="spellEnd"/>
      <w:r w:rsidR="00E044A8" w:rsidRPr="004C509C">
        <w:rPr>
          <w:rFonts w:ascii="Times New Roman" w:hAnsi="Times New Roman" w:cs="Times New Roman"/>
          <w:sz w:val="24"/>
          <w:szCs w:val="24"/>
        </w:rPr>
        <w:t xml:space="preserve"> взвеси</w:t>
      </w:r>
      <w:r w:rsidRPr="004C509C">
        <w:rPr>
          <w:rFonts w:ascii="Times New Roman" w:hAnsi="Times New Roman" w:cs="Times New Roman"/>
          <w:sz w:val="24"/>
          <w:szCs w:val="24"/>
        </w:rPr>
        <w:t xml:space="preserve">. Дополнительные включения: </w:t>
      </w:r>
      <w:r w:rsidR="00E044A8" w:rsidRPr="004C509C">
        <w:rPr>
          <w:rFonts w:ascii="Times New Roman" w:hAnsi="Times New Roman" w:cs="Times New Roman"/>
          <w:sz w:val="24"/>
          <w:szCs w:val="24"/>
        </w:rPr>
        <w:t>в области дорсальной стенки визуализируется локальное утолщение стенки до 5,4мм</w:t>
      </w:r>
      <w:r w:rsidR="004C509C" w:rsidRPr="004C50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509C" w:rsidRPr="004C509C">
        <w:rPr>
          <w:rFonts w:ascii="Times New Roman" w:hAnsi="Times New Roman" w:cs="Times New Roman"/>
          <w:sz w:val="24"/>
          <w:szCs w:val="24"/>
        </w:rPr>
        <w:t>васкуляризация</w:t>
      </w:r>
      <w:proofErr w:type="spellEnd"/>
      <w:r w:rsidR="004C509C" w:rsidRPr="004C509C">
        <w:rPr>
          <w:rFonts w:ascii="Times New Roman" w:hAnsi="Times New Roman" w:cs="Times New Roman"/>
          <w:sz w:val="24"/>
          <w:szCs w:val="24"/>
        </w:rPr>
        <w:t xml:space="preserve"> не </w:t>
      </w:r>
      <w:proofErr w:type="gramStart"/>
      <w:r w:rsidR="004C509C" w:rsidRPr="004C509C">
        <w:rPr>
          <w:rFonts w:ascii="Times New Roman" w:hAnsi="Times New Roman" w:cs="Times New Roman"/>
          <w:sz w:val="24"/>
          <w:szCs w:val="24"/>
        </w:rPr>
        <w:t>выражена</w:t>
      </w:r>
      <w:proofErr w:type="gramEnd"/>
      <w:r w:rsidR="00E044A8" w:rsidRPr="004C509C">
        <w:rPr>
          <w:rFonts w:ascii="Times New Roman" w:hAnsi="Times New Roman" w:cs="Times New Roman"/>
          <w:sz w:val="24"/>
          <w:szCs w:val="24"/>
        </w:rPr>
        <w:t>.</w:t>
      </w:r>
      <w:r w:rsidRPr="004C509C">
        <w:rPr>
          <w:rFonts w:ascii="Times New Roman" w:hAnsi="Times New Roman" w:cs="Times New Roman"/>
          <w:sz w:val="24"/>
          <w:szCs w:val="24"/>
        </w:rPr>
        <w:br/>
      </w:r>
      <w:r w:rsidRPr="004C509C">
        <w:rPr>
          <w:rFonts w:ascii="Times New Roman" w:hAnsi="Times New Roman" w:cs="Times New Roman"/>
          <w:b/>
          <w:bCs/>
          <w:sz w:val="24"/>
          <w:szCs w:val="24"/>
        </w:rPr>
        <w:t>Уретра:</w:t>
      </w:r>
      <w:r w:rsidRPr="004C509C">
        <w:rPr>
          <w:rFonts w:ascii="Times New Roman" w:hAnsi="Times New Roman" w:cs="Times New Roman"/>
          <w:sz w:val="24"/>
          <w:szCs w:val="24"/>
        </w:rPr>
        <w:t xml:space="preserve"> проксимальный отдел уретры не </w:t>
      </w:r>
      <w:r w:rsidR="00E044A8" w:rsidRPr="004C509C">
        <w:rPr>
          <w:rFonts w:ascii="Times New Roman" w:hAnsi="Times New Roman" w:cs="Times New Roman"/>
          <w:sz w:val="24"/>
          <w:szCs w:val="24"/>
        </w:rPr>
        <w:t>визуализируется</w:t>
      </w:r>
      <w:r w:rsidRPr="004C509C">
        <w:rPr>
          <w:rFonts w:ascii="Times New Roman" w:hAnsi="Times New Roman" w:cs="Times New Roman"/>
          <w:sz w:val="24"/>
          <w:szCs w:val="24"/>
        </w:rPr>
        <w:t>.</w:t>
      </w:r>
      <w:r w:rsidRPr="004C509C">
        <w:br/>
      </w:r>
      <w:r>
        <w:br/>
      </w:r>
      <w:r w:rsidRPr="004C509C">
        <w:rPr>
          <w:rFonts w:ascii="Times New Roman" w:hAnsi="Times New Roman" w:cs="Times New Roman"/>
          <w:sz w:val="24"/>
          <w:szCs w:val="24"/>
        </w:rPr>
        <w:br/>
      </w:r>
      <w:r w:rsidRPr="004C509C">
        <w:rPr>
          <w:rFonts w:ascii="Times New Roman" w:hAnsi="Times New Roman" w:cs="Times New Roman"/>
          <w:b/>
          <w:bCs/>
          <w:sz w:val="24"/>
          <w:szCs w:val="24"/>
        </w:rPr>
        <w:t>Ткани сальника и жировая ткань:</w:t>
      </w:r>
      <w:r w:rsidRPr="004C509C">
        <w:rPr>
          <w:rFonts w:ascii="Times New Roman" w:hAnsi="Times New Roman" w:cs="Times New Roman"/>
          <w:sz w:val="24"/>
          <w:szCs w:val="24"/>
        </w:rPr>
        <w:t xml:space="preserve"> без особенностей. </w:t>
      </w:r>
      <w:proofErr w:type="spellStart"/>
      <w:r w:rsidRPr="004C509C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4C509C">
        <w:rPr>
          <w:rFonts w:ascii="Times New Roman" w:hAnsi="Times New Roman" w:cs="Times New Roman"/>
          <w:sz w:val="24"/>
          <w:szCs w:val="24"/>
        </w:rPr>
        <w:t xml:space="preserve">: не повышена. </w:t>
      </w:r>
      <w:r w:rsidRPr="004C509C">
        <w:rPr>
          <w:rFonts w:ascii="Times New Roman" w:hAnsi="Times New Roman" w:cs="Times New Roman"/>
          <w:sz w:val="24"/>
          <w:szCs w:val="24"/>
        </w:rPr>
        <w:br/>
      </w:r>
      <w:r w:rsidRPr="004C509C">
        <w:rPr>
          <w:rFonts w:ascii="Times New Roman" w:hAnsi="Times New Roman" w:cs="Times New Roman"/>
          <w:sz w:val="24"/>
          <w:szCs w:val="24"/>
        </w:rPr>
        <w:br/>
      </w:r>
      <w:r w:rsidRPr="004C509C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Заключение: </w:t>
      </w:r>
      <w:r w:rsidRPr="004C509C">
        <w:rPr>
          <w:rFonts w:ascii="Times New Roman" w:hAnsi="Times New Roman" w:cs="Times New Roman"/>
          <w:sz w:val="24"/>
          <w:szCs w:val="24"/>
        </w:rPr>
        <w:t xml:space="preserve">на момент исследования </w:t>
      </w:r>
      <w:proofErr w:type="spellStart"/>
      <w:proofErr w:type="gramStart"/>
      <w:r w:rsidRPr="004C509C">
        <w:rPr>
          <w:rFonts w:ascii="Times New Roman" w:hAnsi="Times New Roman" w:cs="Times New Roman"/>
          <w:sz w:val="24"/>
          <w:szCs w:val="24"/>
        </w:rPr>
        <w:t>УЗ-признаки</w:t>
      </w:r>
      <w:proofErr w:type="spellEnd"/>
      <w:proofErr w:type="gramEnd"/>
      <w:r w:rsidRPr="004C509C">
        <w:rPr>
          <w:rFonts w:ascii="Times New Roman" w:hAnsi="Times New Roman" w:cs="Times New Roman"/>
          <w:sz w:val="24"/>
          <w:szCs w:val="24"/>
        </w:rPr>
        <w:t>:</w:t>
      </w:r>
    </w:p>
    <w:p w:rsidR="004C509C" w:rsidRPr="004C509C" w:rsidRDefault="00E044A8" w:rsidP="004C509C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C509C">
        <w:rPr>
          <w:rFonts w:ascii="Times New Roman" w:hAnsi="Times New Roman" w:cs="Times New Roman"/>
          <w:sz w:val="24"/>
          <w:szCs w:val="24"/>
        </w:rPr>
        <w:t xml:space="preserve">- </w:t>
      </w:r>
      <w:r w:rsidR="004C509C" w:rsidRPr="004C509C">
        <w:rPr>
          <w:rFonts w:ascii="Times New Roman" w:eastAsia="Times New Roman" w:hAnsi="Times New Roman" w:cs="Times New Roman"/>
          <w:sz w:val="24"/>
          <w:szCs w:val="24"/>
        </w:rPr>
        <w:t>локальн</w:t>
      </w:r>
      <w:r w:rsidR="004C509C">
        <w:rPr>
          <w:rFonts w:ascii="Times New Roman" w:eastAsia="Times New Roman" w:hAnsi="Times New Roman" w:cs="Times New Roman"/>
          <w:sz w:val="24"/>
          <w:szCs w:val="24"/>
        </w:rPr>
        <w:t xml:space="preserve">ых изменений </w:t>
      </w:r>
      <w:r w:rsidR="004C509C" w:rsidRPr="004C509C">
        <w:rPr>
          <w:rFonts w:ascii="Times New Roman" w:eastAsia="Times New Roman" w:hAnsi="Times New Roman" w:cs="Times New Roman"/>
          <w:sz w:val="24"/>
          <w:szCs w:val="24"/>
        </w:rPr>
        <w:t>стенки мочевого пузыря, характерн</w:t>
      </w:r>
      <w:r w:rsidR="004C509C">
        <w:rPr>
          <w:rFonts w:ascii="Times New Roman" w:eastAsia="Times New Roman" w:hAnsi="Times New Roman" w:cs="Times New Roman"/>
          <w:sz w:val="24"/>
          <w:szCs w:val="24"/>
        </w:rPr>
        <w:t>ых</w:t>
      </w:r>
      <w:r w:rsidR="004C509C" w:rsidRPr="004C509C">
        <w:rPr>
          <w:rFonts w:ascii="Times New Roman" w:eastAsia="Times New Roman" w:hAnsi="Times New Roman" w:cs="Times New Roman"/>
          <w:sz w:val="24"/>
          <w:szCs w:val="24"/>
        </w:rPr>
        <w:t xml:space="preserve"> для хронического </w:t>
      </w:r>
      <w:proofErr w:type="spellStart"/>
      <w:r w:rsidR="004C509C" w:rsidRPr="004C509C">
        <w:rPr>
          <w:rFonts w:ascii="Times New Roman" w:eastAsia="Times New Roman" w:hAnsi="Times New Roman" w:cs="Times New Roman"/>
          <w:sz w:val="24"/>
          <w:szCs w:val="24"/>
        </w:rPr>
        <w:t>уроцистита</w:t>
      </w:r>
      <w:proofErr w:type="spellEnd"/>
      <w:r w:rsidR="004C509C" w:rsidRPr="004C509C">
        <w:rPr>
          <w:rFonts w:ascii="Times New Roman" w:eastAsia="Times New Roman" w:hAnsi="Times New Roman" w:cs="Times New Roman"/>
          <w:sz w:val="24"/>
          <w:szCs w:val="24"/>
        </w:rPr>
        <w:t>, не исключена неоплазия стенки.</w:t>
      </w:r>
      <w:proofErr w:type="gramEnd"/>
    </w:p>
    <w:p w:rsidR="00E044A8" w:rsidRPr="004C509C" w:rsidRDefault="004C509C" w:rsidP="00E044A8">
      <w:pPr>
        <w:pStyle w:val="a3"/>
        <w:spacing w:after="278"/>
      </w:pPr>
      <w:r w:rsidRPr="004C509C">
        <w:t xml:space="preserve">- </w:t>
      </w:r>
      <w:r w:rsidR="00E044A8" w:rsidRPr="004C509C">
        <w:t xml:space="preserve"> наличи</w:t>
      </w:r>
      <w:r w:rsidRPr="004C509C">
        <w:t>я</w:t>
      </w:r>
      <w:r w:rsidR="00E044A8" w:rsidRPr="004C509C">
        <w:t xml:space="preserve"> небольшого количества взвеси</w:t>
      </w:r>
      <w:r w:rsidRPr="004C509C">
        <w:t xml:space="preserve"> в мочевом пузыре</w:t>
      </w:r>
    </w:p>
    <w:p w:rsidR="004C509C" w:rsidRDefault="004C509C" w:rsidP="00E044A8">
      <w:pPr>
        <w:pStyle w:val="a3"/>
        <w:spacing w:after="278"/>
      </w:pPr>
      <w:r>
        <w:t xml:space="preserve">- локального утолщения стенки мочевого пузыря, что может соответствовать бугристости стенки, нельзя исключать </w:t>
      </w:r>
      <w:proofErr w:type="spellStart"/>
      <w:r>
        <w:t>полип\образования</w:t>
      </w:r>
      <w:proofErr w:type="spellEnd"/>
      <w:r>
        <w:t xml:space="preserve"> иного генеза</w:t>
      </w:r>
    </w:p>
    <w:p w:rsidR="00423DC2" w:rsidRDefault="00E044A8" w:rsidP="004C509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</w:t>
      </w:r>
      <w:r>
        <w:rPr>
          <w:rFonts w:ascii="Times New Roman" w:hAnsi="Times New Roman" w:cs="Times New Roman"/>
          <w:sz w:val="24"/>
          <w:szCs w:val="24"/>
        </w:rPr>
        <w:t>рных для хронической нефропатии</w:t>
      </w:r>
      <w:r w:rsidRPr="00935BBB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4C509C">
        <w:rPr>
          <w:rFonts w:ascii="Times New Roman" w:hAnsi="Times New Roman" w:cs="Times New Roman"/>
          <w:sz w:val="24"/>
          <w:szCs w:val="24"/>
        </w:rPr>
        <w:t>й</w:t>
      </w:r>
    </w:p>
    <w:p w:rsidR="004C509C" w:rsidRPr="004C509C" w:rsidRDefault="004C509C" w:rsidP="004C509C">
      <w:pPr>
        <w:rPr>
          <w:rFonts w:ascii="Times New Roman" w:hAnsi="Times New Roman" w:cs="Times New Roman"/>
          <w:sz w:val="24"/>
          <w:szCs w:val="24"/>
        </w:rPr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A71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4C509C"/>
    <w:rsid w:val="00A71A26"/>
    <w:rsid w:val="00CE53FB"/>
    <w:rsid w:val="00E0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7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2024-11-13T09:35:00Z</dcterms:created>
  <dcterms:modified xsi:type="dcterms:W3CDTF">2024-11-13T09:35:00Z</dcterms:modified>
</cp:coreProperties>
</file>