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EA544A" w:rsidRDefault="00EA544A" w:rsidP="00554EEC">
      <w:pPr>
        <w:pStyle w:val="a3"/>
        <w:spacing w:after="278"/>
      </w:pPr>
      <w:proofErr w:type="spellStart"/>
      <w:r>
        <w:rPr>
          <w:b/>
          <w:bCs/>
        </w:rPr>
        <w:t>Удовик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.А</w:t>
      </w:r>
      <w:proofErr w:type="gramEnd"/>
      <w:r>
        <w:rPr>
          <w:b/>
          <w:bCs/>
        </w:rPr>
        <w:t>брикос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анэхогенное</w:t>
      </w:r>
      <w:proofErr w:type="spellEnd"/>
      <w:r>
        <w:t xml:space="preserve">. Стенка </w:t>
      </w:r>
      <w:r w:rsidR="00EA544A">
        <w:t>слабо</w:t>
      </w:r>
      <w:r>
        <w:t xml:space="preserve"> утолщена, 1</w:t>
      </w:r>
      <w:r w:rsidR="00EA544A">
        <w:t>,2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>
        <w:t xml:space="preserve">. Толщина стенки: </w:t>
      </w:r>
      <w:r w:rsidR="00EA544A">
        <w:t>2,3</w:t>
      </w:r>
      <w:r>
        <w:t>мм. Дифференциация слоев стенки: сохранена</w:t>
      </w:r>
      <w:r w:rsidR="00EA544A">
        <w:t xml:space="preserve">, выражен </w:t>
      </w:r>
      <w:proofErr w:type="spellStart"/>
      <w:r w:rsidR="00EA544A">
        <w:t>подслизистый</w:t>
      </w:r>
      <w:proofErr w:type="spellEnd"/>
      <w:r w:rsidR="00EA544A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EA544A">
        <w:t xml:space="preserve">1,7 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сохранена. Толщина стенки</w:t>
      </w:r>
      <w:r w:rsidR="00EA544A">
        <w:t xml:space="preserve"> 2,7</w:t>
      </w:r>
      <w:r>
        <w:t xml:space="preserve"> 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EA544A">
        <w:t>1,2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EA544A">
        <w:t>41*26,8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EA544A">
        <w:t>42,2*25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EA544A" w:rsidRDefault="00554EEC" w:rsidP="00EA544A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EA544A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EA544A">
        <w:t>диффузно 1,4мм, в области верхушки утолщена до 4,1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EA544A">
        <w:t xml:space="preserve"> с наличием умеренного количества взвеси в виде сгустков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EA544A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</w:t>
      </w:r>
      <w:r w:rsidR="00EA544A">
        <w:t xml:space="preserve">ез особенностей. </w:t>
      </w:r>
      <w:proofErr w:type="spellStart"/>
      <w:r w:rsidR="00EA544A">
        <w:t>Эхогенность</w:t>
      </w:r>
      <w:proofErr w:type="spellEnd"/>
      <w:r w:rsidR="00EA544A">
        <w:t>: локально слабо</w:t>
      </w:r>
      <w:r>
        <w:t xml:space="preserve"> </w:t>
      </w:r>
      <w:proofErr w:type="gramStart"/>
      <w:r>
        <w:t>повышена</w:t>
      </w:r>
      <w:proofErr w:type="gramEnd"/>
      <w:r w:rsidR="00EA544A">
        <w:t xml:space="preserve"> в области желудка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EA544A" w:rsidRDefault="00EA544A" w:rsidP="00554EEC">
      <w:pPr>
        <w:pStyle w:val="a3"/>
        <w:spacing w:after="278"/>
      </w:pPr>
      <w:r>
        <w:t>- Локального утолщения стенки мочевого пузыря с умеренным количеством взвеси в просвете, что характерно для цистита в стадии обострения</w:t>
      </w:r>
    </w:p>
    <w:p w:rsidR="00EA544A" w:rsidRDefault="00EA544A" w:rsidP="00554EEC">
      <w:pPr>
        <w:pStyle w:val="a3"/>
        <w:spacing w:after="278"/>
      </w:pPr>
      <w:r>
        <w:t>- Слабовыраженного стеатита в области желудка, нельзя исключать слабовыраженный гастрит</w:t>
      </w:r>
    </w:p>
    <w:p w:rsidR="00EA544A" w:rsidRDefault="00EA544A" w:rsidP="00554EEC">
      <w:pPr>
        <w:pStyle w:val="a3"/>
        <w:spacing w:after="278"/>
      </w:pPr>
      <w:r>
        <w:t>- Диффузного утолщения стенки желчного пузыря, что характерно для хронического холецистита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9E2C9E"/>
    <w:rsid w:val="00BB4038"/>
    <w:rsid w:val="00E326EE"/>
    <w:rsid w:val="00EA544A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2024-11-13T06:43:00Z</dcterms:created>
  <dcterms:modified xsi:type="dcterms:W3CDTF">2024-11-13T06:43:00Z</dcterms:modified>
</cp:coreProperties>
</file>