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4E1F51" w:rsidRDefault="004E1F51" w:rsidP="00554EEC">
      <w:pPr>
        <w:pStyle w:val="a3"/>
        <w:spacing w:after="278"/>
      </w:pPr>
      <w:proofErr w:type="spellStart"/>
      <w:r>
        <w:rPr>
          <w:b/>
          <w:bCs/>
        </w:rPr>
        <w:t>Механикова</w:t>
      </w:r>
      <w:proofErr w:type="spellEnd"/>
      <w:r>
        <w:rPr>
          <w:b/>
          <w:bCs/>
        </w:rPr>
        <w:t>, к. Джерри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4E1F51">
        <w:t>эхогенное</w:t>
      </w:r>
      <w:proofErr w:type="spellEnd"/>
      <w:r w:rsidR="004E1F51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4E1F51">
        <w:t xml:space="preserve">. </w:t>
      </w:r>
      <w:r>
        <w:t xml:space="preserve">Содержимое: </w:t>
      </w:r>
      <w:proofErr w:type="spellStart"/>
      <w:r>
        <w:t>гипоэхогенное</w:t>
      </w:r>
      <w:proofErr w:type="spellEnd"/>
      <w:r>
        <w:t>. Толщина стенки:</w:t>
      </w:r>
      <w:r w:rsidR="004E1F51">
        <w:t xml:space="preserve"> 2,8</w:t>
      </w:r>
      <w:r>
        <w:t xml:space="preserve"> мм. Дифференциация слоев стенки: сохранена</w:t>
      </w:r>
      <w:r w:rsidR="004E1F51">
        <w:t xml:space="preserve">, выражен </w:t>
      </w:r>
      <w:proofErr w:type="spellStart"/>
      <w:r w:rsidR="004E1F51">
        <w:t>подслизистый</w:t>
      </w:r>
      <w:proofErr w:type="spellEnd"/>
      <w:r w:rsidR="004E1F51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E1F51">
        <w:t>2,8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4E1F51">
        <w:t>2,2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E1F51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73B70">
        <w:t>42,6</w:t>
      </w:r>
      <w:r w:rsidR="004E1F51">
        <w:t>*26</w:t>
      </w:r>
      <w:r w:rsidR="00E73B70">
        <w:t>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4E1F51">
        <w:t>44,6*24,8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4E1F51" w:rsidRDefault="00554EEC" w:rsidP="004E1F51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4E1F51">
        <w:t>4</w:t>
      </w:r>
      <w:r>
        <w:t>мм</w:t>
      </w:r>
      <w:r w:rsidR="004E1F51">
        <w:t>, утолщена</w:t>
      </w:r>
      <w:r>
        <w:t xml:space="preserve">. Содержимое: </w:t>
      </w:r>
      <w:proofErr w:type="spellStart"/>
      <w:r>
        <w:t>анэхогенное</w:t>
      </w:r>
      <w:proofErr w:type="spellEnd"/>
      <w:r w:rsidR="004E1F51">
        <w:t xml:space="preserve"> с наличием небольшого количества минерализованной взвеси и </w:t>
      </w:r>
      <w:proofErr w:type="spellStart"/>
      <w:r w:rsidR="004E1F51">
        <w:t>гипоэхогенных</w:t>
      </w:r>
      <w:proofErr w:type="spellEnd"/>
      <w:r w:rsidR="004E1F51">
        <w:t xml:space="preserve"> включений по типу слизи на дорсальной стенке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4E1F51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4E1F51" w:rsidP="00554EEC">
      <w:pPr>
        <w:pStyle w:val="a3"/>
        <w:spacing w:after="278"/>
      </w:pPr>
      <w:r>
        <w:t>- Диффузных изменений стенки желудка, характерных для хронического гастрита</w:t>
      </w:r>
    </w:p>
    <w:p w:rsidR="004E1F51" w:rsidRDefault="004E1F51" w:rsidP="00554EEC">
      <w:pPr>
        <w:pStyle w:val="a3"/>
        <w:spacing w:after="278"/>
      </w:pPr>
      <w:r>
        <w:t>- Диффузного утолщения стенки мочевого пузыря с наличием небольшого количества взвеси и включений по типу слизи, что характерно для цистита в стадии обострения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E1F51"/>
    <w:rsid w:val="00554EEC"/>
    <w:rsid w:val="009E2C9E"/>
    <w:rsid w:val="00A24E65"/>
    <w:rsid w:val="00BB4038"/>
    <w:rsid w:val="00E73B70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2024-10-30T07:39:00Z</dcterms:created>
  <dcterms:modified xsi:type="dcterms:W3CDTF">2024-10-30T07:39:00Z</dcterms:modified>
</cp:coreProperties>
</file>