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МОЧЕВЫДЕЛИТЕЛЬНОЙ СИСТЕМЫ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Ануркина, к.Джек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Левая почка: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32,7*20,3мм. Положение: анатомически правильное. Форма бобовидная. Контуры ровные, четкие. Структура паренхимы: однородная. Эхогенность: повышена. Кортикомедулярная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Правая почка: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визуализируется. Размер: 35,3*18,2мм. Положение: анатомически правильное. Форма бобовидная. Контуры ровные, четкие. Структура паренхимы: однородная. Эхогенность: повышена. Кортикомедулярная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Мочевой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спавшийся. Толщина стенки: 5,6 мм, бугристая. Дополнительные включения: не визуализируются.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проксимальный отдел уретры не расширен, стенки не утолщены.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тонкого отдела кишечника сохранена. Просвет умеренно расширен гипоэхогенным содержимым.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Лимфатические узлы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не повышена.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Диффузного утолщения стенки мочевого пузыря, что характерно для цистита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билатеральных изменений паренхимы почек, характерных для хронической нефропатии/жировой инфильтрации /гериатрических изменений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