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721EF6" w:rsidRDefault="00721EF6" w:rsidP="00554EEC">
      <w:pPr>
        <w:pStyle w:val="a3"/>
        <w:spacing w:after="278"/>
      </w:pPr>
      <w:proofErr w:type="spellStart"/>
      <w:r>
        <w:rPr>
          <w:b/>
          <w:bCs/>
        </w:rPr>
        <w:t>Лысюк</w:t>
      </w:r>
      <w:proofErr w:type="spellEnd"/>
      <w:r>
        <w:rPr>
          <w:b/>
          <w:bCs/>
        </w:rPr>
        <w:t>, к.Элис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</w:t>
      </w:r>
      <w:r w:rsidR="00721EF6">
        <w:t>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 xml:space="preserve">: </w:t>
      </w:r>
      <w:r w:rsidR="00721EF6">
        <w:t>повышена</w:t>
      </w:r>
      <w:r>
        <w:t>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</w:t>
      </w:r>
      <w:r w:rsidR="00D4710C">
        <w:t>эхогенное</w:t>
      </w:r>
      <w:proofErr w:type="spellEnd"/>
      <w:r w:rsidR="00721EF6">
        <w:t xml:space="preserve"> с небольшим количеством взвеси</w:t>
      </w:r>
      <w:r w:rsidR="00D4710C">
        <w:t>. Стенка не утолщена, 0,5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D4710C">
        <w:t>.</w:t>
      </w:r>
      <w:r>
        <w:t xml:space="preserve"> Толщина стенки: </w:t>
      </w:r>
      <w:r w:rsidR="00D4710C">
        <w:t>2,1</w:t>
      </w:r>
      <w:r>
        <w:t>мм. Дифференциация слоев стенки: сохранена</w:t>
      </w:r>
      <w:r w:rsidR="00D4710C">
        <w:t xml:space="preserve">, выражен </w:t>
      </w:r>
      <w:proofErr w:type="spellStart"/>
      <w:r w:rsidR="00D4710C">
        <w:t>подсизистый</w:t>
      </w:r>
      <w:proofErr w:type="spellEnd"/>
      <w:r w:rsidR="00D4710C">
        <w:t xml:space="preserve">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D4710C">
        <w:t xml:space="preserve">1,8 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сохранена. Толщина стенки</w:t>
      </w:r>
      <w:r w:rsidR="00D4710C">
        <w:t xml:space="preserve"> 1,9</w:t>
      </w:r>
      <w:r>
        <w:t xml:space="preserve"> 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</w:t>
      </w:r>
      <w:r w:rsidR="00D4710C">
        <w:rPr>
          <w:color w:val="000000"/>
        </w:rPr>
        <w:t xml:space="preserve"> 2,5мм,</w:t>
      </w:r>
      <w:r>
        <w:rPr>
          <w:color w:val="000000"/>
        </w:rPr>
        <w:t xml:space="preserve">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</w:t>
      </w:r>
      <w:r w:rsidR="00721EF6">
        <w:t xml:space="preserve"> 1</w:t>
      </w:r>
      <w:r>
        <w:t xml:space="preserve"> 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D4710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D4710C">
        <w:t>33,4*21,7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D4710C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D4710C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D4710C">
        <w:t>33,2*20,4</w:t>
      </w:r>
      <w:r>
        <w:t xml:space="preserve">мм. </w:t>
      </w:r>
      <w:r w:rsidR="00D4710C">
        <w:t xml:space="preserve">Положение: анатомически правильное. Форма бобовидная. Контуры ровные, четкие. Структура паренхимы: </w:t>
      </w:r>
      <w:r w:rsidR="00D4710C">
        <w:lastRenderedPageBreak/>
        <w:t xml:space="preserve">однородная. </w:t>
      </w:r>
      <w:proofErr w:type="spellStart"/>
      <w:r w:rsidR="00D4710C">
        <w:t>Эхогенность</w:t>
      </w:r>
      <w:proofErr w:type="spellEnd"/>
      <w:r w:rsidR="00D4710C">
        <w:t xml:space="preserve">: повышена. </w:t>
      </w:r>
      <w:proofErr w:type="spellStart"/>
      <w:r w:rsidR="00D4710C">
        <w:t>Кортикомедулярная</w:t>
      </w:r>
      <w:proofErr w:type="spellEnd"/>
      <w:r w:rsidR="00D4710C">
        <w:t xml:space="preserve"> дифференциация: сглажена.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 w:rsidR="00D4710C">
        <w:br/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D4710C" w:rsidRDefault="00554EEC" w:rsidP="00D4710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D4710C">
        <w:t>1,7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D4710C">
        <w:t>расширен, стенки не утолщены.</w:t>
      </w:r>
    </w:p>
    <w:p w:rsidR="00D4710C" w:rsidRDefault="00D4710C" w:rsidP="00D4710C">
      <w:pPr>
        <w:pStyle w:val="a3"/>
        <w:spacing w:after="278"/>
      </w:pPr>
      <w:r>
        <w:t xml:space="preserve">В области правого </w:t>
      </w:r>
      <w:proofErr w:type="spellStart"/>
      <w:r>
        <w:t>эпигастрия</w:t>
      </w:r>
      <w:proofErr w:type="spellEnd"/>
      <w:r>
        <w:t xml:space="preserve"> подкожно визуализируется полость с неоднородным содержимым и наличием следового количества </w:t>
      </w:r>
      <w:proofErr w:type="spellStart"/>
      <w:r>
        <w:t>анэхогенного</w:t>
      </w:r>
      <w:proofErr w:type="spellEnd"/>
      <w:r>
        <w:t xml:space="preserve"> содержимого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EC6C3F" w:rsidRDefault="00721EF6" w:rsidP="00721EF6">
      <w:pPr>
        <w:pStyle w:val="a4"/>
        <w:numPr>
          <w:ilvl w:val="0"/>
          <w:numId w:val="1"/>
        </w:numPr>
      </w:pPr>
      <w:r>
        <w:t>диффузных изменений паренхимы печени, характерных для жировой дистрофии/</w:t>
      </w:r>
      <w:proofErr w:type="spellStart"/>
      <w:r>
        <w:t>липидоза</w:t>
      </w:r>
      <w:proofErr w:type="spellEnd"/>
    </w:p>
    <w:p w:rsidR="00721EF6" w:rsidRDefault="00721EF6"/>
    <w:p w:rsidR="00721EF6" w:rsidRDefault="00721EF6" w:rsidP="00721EF6">
      <w:pPr>
        <w:pStyle w:val="a4"/>
        <w:numPr>
          <w:ilvl w:val="0"/>
          <w:numId w:val="1"/>
        </w:numPr>
      </w:pPr>
      <w:r>
        <w:t>наличия небольшого количества взвеси в желчном пузыре</w:t>
      </w:r>
    </w:p>
    <w:p w:rsidR="00721EF6" w:rsidRDefault="00721EF6"/>
    <w:p w:rsidR="00721EF6" w:rsidRDefault="00721EF6" w:rsidP="00721EF6">
      <w:pPr>
        <w:pStyle w:val="a4"/>
        <w:numPr>
          <w:ilvl w:val="0"/>
          <w:numId w:val="1"/>
        </w:numPr>
      </w:pPr>
      <w:r>
        <w:t>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>
        <w:t>гериатрических</w:t>
      </w:r>
      <w:proofErr w:type="spellEnd"/>
      <w:r>
        <w:t xml:space="preserve"> изменений</w:t>
      </w:r>
    </w:p>
    <w:p w:rsidR="00721EF6" w:rsidRDefault="00721EF6"/>
    <w:sectPr w:rsidR="00721EF6" w:rsidSect="008B6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D25647"/>
    <w:multiLevelType w:val="hybridMultilevel"/>
    <w:tmpl w:val="60D659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721EF6"/>
    <w:rsid w:val="008B614D"/>
    <w:rsid w:val="00D4710C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1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21E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2024-10-11T10:05:00Z</dcterms:created>
  <dcterms:modified xsi:type="dcterms:W3CDTF">2024-10-11T10:05:00Z</dcterms:modified>
</cp:coreProperties>
</file>