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109"/>
        <w:jc w:val="center"/>
        <w:rPr>
          <w:b/>
          <w:b/>
          <w:color w:val="000000"/>
        </w:rPr>
      </w:pPr>
      <w:r>
        <w:rPr>
          <w:b/>
          <w:color w:val="000000"/>
        </w:rPr>
        <w:t>УЛЬТРАЗВУКОВОЕ ИССЛЕДОВАНИЕ БРЮШНОЙ ПОЛОСТИ</w:t>
      </w:r>
    </w:p>
    <w:p>
      <w:pPr>
        <w:pStyle w:val="NormalWeb"/>
        <w:spacing w:before="280" w:after="280"/>
        <w:jc w:val="center"/>
        <w:rPr/>
      </w:pPr>
      <w:r>
        <w:rPr>
          <w:b/>
          <w:color w:val="000000"/>
        </w:rPr>
        <w:t>кошка Карри</w:t>
      </w:r>
      <w:r>
        <w:rPr>
          <w:b/>
          <w:color w:val="000000"/>
        </w:rPr>
        <w:t xml:space="preserve">                  </w:t>
      </w:r>
      <w:r>
        <w:rPr>
          <w:color w:val="000000"/>
        </w:rPr>
        <w:t xml:space="preserve">Дата исследования: </w:t>
      </w:r>
      <w:bookmarkStart w:id="0" w:name="_GoBack"/>
      <w:bookmarkEnd w:id="0"/>
      <w:r>
        <w:rPr>
          <w:b/>
          <w:color w:val="000000"/>
        </w:rPr>
        <w:t xml:space="preserve"> </w:t>
      </w:r>
      <w:r>
        <w:rPr>
          <w:b/>
          <w:color w:val="000000"/>
        </w:rPr>
        <w:t>27.08.2024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ПЕЧЕНЬ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Акустический доступ удовлетворительный. Расположена обычно, края закругленные, с ровными контурами, капсула не уплотнена, в размерах не увеличена. Эхогенность повышена. Эхоструктура диффузно однородная, мелкозернистая. Диаметр воротной вены  </w:t>
      </w:r>
      <w:r>
        <w:rPr>
          <w:rFonts w:cs="Times New Roman" w:ascii="Times New Roman" w:hAnsi="Times New Roman"/>
          <w:sz w:val="24"/>
          <w:szCs w:val="24"/>
        </w:rPr>
        <w:t xml:space="preserve">3 </w:t>
      </w:r>
      <w:r>
        <w:rPr>
          <w:rFonts w:cs="Times New Roman" w:ascii="Times New Roman" w:hAnsi="Times New Roman"/>
          <w:sz w:val="24"/>
          <w:szCs w:val="24"/>
        </w:rPr>
        <w:t xml:space="preserve">мм. Скорость на воротной вене до </w:t>
      </w:r>
      <w:r>
        <w:rPr>
          <w:rFonts w:cs="Times New Roman" w:ascii="Times New Roman" w:hAnsi="Times New Roman"/>
          <w:sz w:val="24"/>
          <w:szCs w:val="24"/>
        </w:rPr>
        <w:t xml:space="preserve">12 </w:t>
      </w:r>
      <w:r>
        <w:rPr>
          <w:rFonts w:cs="Times New Roman" w:ascii="Times New Roman" w:hAnsi="Times New Roman"/>
          <w:sz w:val="24"/>
          <w:szCs w:val="24"/>
        </w:rPr>
        <w:t xml:space="preserve">см/с. Аорта </w:t>
      </w: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 xml:space="preserve"> мм. КПВ </w:t>
      </w:r>
      <w:r>
        <w:rPr>
          <w:rFonts w:cs="Times New Roman" w:ascii="Times New Roman" w:hAnsi="Times New Roman"/>
          <w:sz w:val="24"/>
          <w:szCs w:val="24"/>
        </w:rPr>
        <w:t>50</w:t>
      </w:r>
      <w:r>
        <w:rPr>
          <w:rFonts w:cs="Times New Roman" w:ascii="Times New Roman" w:hAnsi="Times New Roman"/>
          <w:sz w:val="24"/>
          <w:szCs w:val="24"/>
        </w:rPr>
        <w:t xml:space="preserve"> %.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ЖЕЛЧНЫЙ ПУЗЫРЬ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Визуализируется отчетливо. Расположен обычно, в размерах не увеличен, с четкими неровными контурами, форма обычная, стенки утолщены до </w:t>
      </w:r>
      <w:r>
        <w:rPr>
          <w:rFonts w:cs="Times New Roman" w:ascii="Times New Roman" w:hAnsi="Times New Roman"/>
          <w:sz w:val="24"/>
          <w:szCs w:val="24"/>
        </w:rPr>
        <w:t xml:space="preserve">1.5 </w:t>
      </w:r>
      <w:r>
        <w:rPr>
          <w:rFonts w:cs="Times New Roman" w:ascii="Times New Roman" w:hAnsi="Times New Roman"/>
          <w:sz w:val="24"/>
          <w:szCs w:val="24"/>
        </w:rPr>
        <w:t xml:space="preserve">мм. </w:t>
      </w:r>
      <w:r>
        <w:rPr>
          <w:rFonts w:cs="Times New Roman" w:ascii="Times New Roman" w:hAnsi="Times New Roman"/>
          <w:sz w:val="24"/>
          <w:szCs w:val="24"/>
        </w:rPr>
        <w:t>Холедох 2 мм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ЖЕЛЧЕВЫВОДЯЩИЕ ПУТИ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Акустический доступ к желчевыводящим путям удовлетворительный. Общий желчный проток визуализируется на всем протяжении. Просвет его не расширен. Структура неоднородная. Внутрипеченочные желчные протоки расширены.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ПОДЖЕЛУДОЧНАЯ ЖЕЛЕЗА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Акустический доступ удовлетворительный. Расположена обычно. Контуры четкие ровные, эхогенность повышена.  Размеры ее изменены (</w:t>
      </w:r>
      <w:r>
        <w:rPr>
          <w:rFonts w:cs="Times New Roman" w:ascii="Times New Roman" w:hAnsi="Times New Roman"/>
          <w:sz w:val="24"/>
          <w:szCs w:val="24"/>
        </w:rPr>
        <w:t xml:space="preserve">8-9 </w:t>
      </w:r>
      <w:r>
        <w:rPr>
          <w:rFonts w:cs="Times New Roman" w:ascii="Times New Roman" w:hAnsi="Times New Roman"/>
          <w:sz w:val="24"/>
          <w:szCs w:val="24"/>
        </w:rPr>
        <w:t xml:space="preserve">мм). Эхоструктура однородная, мелкозернистая. Окружающие сосуды не изменены.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Селезенка </w:t>
      </w:r>
      <w:r>
        <w:rPr>
          <w:rFonts w:cs="Times New Roman" w:ascii="Times New Roman" w:hAnsi="Times New Roman"/>
          <w:sz w:val="24"/>
          <w:szCs w:val="24"/>
        </w:rPr>
        <w:t xml:space="preserve">не </w:t>
      </w:r>
      <w:r>
        <w:rPr>
          <w:rFonts w:cs="Times New Roman" w:ascii="Times New Roman" w:hAnsi="Times New Roman"/>
          <w:sz w:val="24"/>
          <w:szCs w:val="24"/>
        </w:rPr>
        <w:t xml:space="preserve">увеличена, неоднородная, </w:t>
      </w:r>
      <w:r>
        <w:rPr>
          <w:rFonts w:cs="Times New Roman" w:ascii="Times New Roman" w:hAnsi="Times New Roman"/>
          <w:sz w:val="24"/>
          <w:szCs w:val="24"/>
        </w:rPr>
        <w:t>с единичном гиперэхогенным образованием размер 5.5 мм,</w:t>
      </w:r>
      <w:r>
        <w:rPr>
          <w:rFonts w:cs="Times New Roman" w:ascii="Times New Roman" w:hAnsi="Times New Roman"/>
          <w:sz w:val="24"/>
          <w:szCs w:val="24"/>
        </w:rPr>
        <w:t xml:space="preserve"> гипоэхогенная.</w:t>
      </w:r>
    </w:p>
    <w:p>
      <w:pPr>
        <w:pStyle w:val="NormalWeb"/>
        <w:spacing w:before="280" w:after="280"/>
        <w:rPr/>
      </w:pPr>
      <w:r>
        <w:rPr>
          <w:color w:val="000000"/>
        </w:rPr>
        <w:t xml:space="preserve">ЛЕВАЯ ПОЧКА: Акустический доступ к почке удовлетворительный. Почка расположена обычно, размерами – </w:t>
      </w:r>
      <w:r>
        <w:rPr>
          <w:color w:val="000000"/>
        </w:rPr>
        <w:t xml:space="preserve">33 на 22 </w:t>
      </w:r>
      <w:r>
        <w:rPr>
          <w:color w:val="000000"/>
        </w:rPr>
        <w:t xml:space="preserve">мм, контуры ровные четкие. Паренхима почки прослеживается, толщиной </w:t>
      </w:r>
      <w:r>
        <w:rPr>
          <w:color w:val="000000"/>
        </w:rPr>
        <w:t xml:space="preserve">4 </w:t>
      </w:r>
      <w:r>
        <w:rPr>
          <w:color w:val="000000"/>
        </w:rPr>
        <w:t xml:space="preserve">мм. Эхогенность паренхимы повышена, эхоструктура </w:t>
      </w:r>
      <w:r>
        <w:rPr>
          <w:color w:val="000000"/>
        </w:rPr>
        <w:t>не</w:t>
      </w:r>
      <w:r>
        <w:rPr>
          <w:color w:val="000000"/>
        </w:rPr>
        <w:t xml:space="preserve">однородная. Эхоструктура синуса не изменена. ЦДК </w:t>
      </w:r>
      <w:r>
        <w:rPr>
          <w:color w:val="000000"/>
        </w:rPr>
        <w:t>снижена</w:t>
      </w:r>
      <w:r>
        <w:rPr>
          <w:color w:val="000000"/>
        </w:rPr>
        <w:t xml:space="preserve">. Надпочечник размер </w:t>
      </w:r>
      <w:r>
        <w:rPr>
          <w:color w:val="000000"/>
        </w:rPr>
        <w:t xml:space="preserve">3 </w:t>
      </w:r>
      <w:r>
        <w:rPr>
          <w:color w:val="000000"/>
        </w:rPr>
        <w:t>мм, однородный гипоэхогенный.</w:t>
      </w:r>
    </w:p>
    <w:p>
      <w:pPr>
        <w:pStyle w:val="NormalWeb"/>
        <w:spacing w:before="280" w:after="280"/>
        <w:rPr/>
      </w:pPr>
      <w:r>
        <w:rPr>
          <w:color w:val="000000"/>
        </w:rPr>
        <w:t xml:space="preserve">ПРАВАЯ ПОЧКА: Акустический доступ к почке удовлетворительный. Почка расположена обычно, размерами – </w:t>
      </w:r>
      <w:r>
        <w:rPr>
          <w:color w:val="000000"/>
        </w:rPr>
        <w:t>33 на 20</w:t>
      </w:r>
      <w:r>
        <w:rPr>
          <w:color w:val="000000"/>
        </w:rPr>
        <w:t xml:space="preserve"> мм, контуры ровные четкие. Паренхима почки прослеживается, толщиной </w:t>
      </w:r>
      <w:r>
        <w:rPr>
          <w:color w:val="000000"/>
        </w:rPr>
        <w:t xml:space="preserve">4.2 </w:t>
      </w:r>
      <w:r>
        <w:rPr>
          <w:color w:val="000000"/>
        </w:rPr>
        <w:t xml:space="preserve">мм. Эхогенность паренхимы повышена, эхоструктура </w:t>
      </w:r>
      <w:r>
        <w:rPr>
          <w:color w:val="000000"/>
        </w:rPr>
        <w:t>не</w:t>
      </w:r>
      <w:r>
        <w:rPr>
          <w:color w:val="000000"/>
        </w:rPr>
        <w:t xml:space="preserve">однородная. Эхоструктура синуса не изменена.  ЦДК </w:t>
      </w:r>
      <w:r>
        <w:rPr>
          <w:color w:val="000000"/>
        </w:rPr>
        <w:t>снижен</w:t>
      </w:r>
      <w:r>
        <w:rPr>
          <w:color w:val="000000"/>
        </w:rPr>
        <w:t xml:space="preserve">а. Надпочечник размер </w:t>
      </w:r>
      <w:r>
        <w:rPr>
          <w:color w:val="000000"/>
        </w:rPr>
        <w:t>3.2</w:t>
      </w:r>
      <w:r>
        <w:rPr>
          <w:color w:val="000000"/>
        </w:rPr>
        <w:t xml:space="preserve"> мм, однородный гипоэхогенный.</w:t>
      </w:r>
    </w:p>
    <w:p>
      <w:pPr>
        <w:pStyle w:val="NormalWeb"/>
        <w:spacing w:before="280" w:after="280"/>
        <w:rPr/>
      </w:pPr>
      <w:r>
        <w:rPr>
          <w:color w:val="000000"/>
        </w:rPr>
        <w:t>МОЧЕВОЙ ПУЗЫРЬ: Наполнение мочевого пузыря удовлетворительное, контуры ровные. Стенки ровные, не утолщены. Полость мочевого пузыря анэхогенна. Объемных образований не выявлено. В полости лоцируется гиперэхогенные взвесь.</w:t>
      </w:r>
    </w:p>
    <w:p>
      <w:pPr>
        <w:pStyle w:val="NormalWeb"/>
        <w:spacing w:lineRule="auto" w:line="240" w:before="280" w:after="280"/>
        <w:rPr/>
      </w:pPr>
      <w:r>
        <w:rPr>
          <w:color w:val="000000"/>
        </w:rPr>
        <w:t>Желудок наполнен умеренно, складки сглажены, стенки утолщены, слоистость выражена, содержимое гип</w:t>
      </w:r>
      <w:r>
        <w:rPr>
          <w:color w:val="000000"/>
        </w:rPr>
        <w:t>ер</w:t>
      </w:r>
      <w:r>
        <w:rPr>
          <w:color w:val="000000"/>
        </w:rPr>
        <w:t>эхогенное (</w:t>
      </w:r>
      <w:r>
        <w:rPr>
          <w:color w:val="000000"/>
        </w:rPr>
        <w:t>кормовые массы</w:t>
      </w:r>
      <w:r>
        <w:rPr>
          <w:color w:val="000000"/>
        </w:rPr>
        <w:t xml:space="preserve">), стенка 6 мм. 12-перстная кишка не наполнена стенки 2 мм. Тощая кишка не наполнена стенки 2.5 мм, слоистость выражена. </w:t>
      </w:r>
      <w:r>
        <w:rPr>
          <w:color w:val="000000"/>
        </w:rPr>
        <w:t xml:space="preserve">Объемное образование </w:t>
      </w:r>
      <w:r>
        <w:rPr>
          <w:color w:val="000000"/>
        </w:rPr>
        <w:t>происходящее из стенки кишечника размер 29 на 30 мм.</w:t>
      </w:r>
      <w:r>
        <w:rPr>
          <w:color w:val="000000"/>
        </w:rPr>
        <w:t xml:space="preserve"> Ободочная кишка, стенки до 2 мм. Прямая и ободочная кишка с каловыми массами.</w:t>
      </w:r>
    </w:p>
    <w:p>
      <w:pPr>
        <w:pStyle w:val="NormalWeb"/>
        <w:spacing w:before="280" w:after="280"/>
        <w:rPr/>
      </w:pPr>
      <w:r>
        <w:rPr>
          <w:color w:val="000000"/>
        </w:rPr>
        <w:t xml:space="preserve">ЗАКЛЮЧЕНИЕ: </w:t>
      </w:r>
      <w:r>
        <w:rPr>
          <w:color w:val="000000"/>
        </w:rPr>
        <w:t xml:space="preserve">Свободная жидкость в брюшной полости. Диффузное изменение печени по фиброзному типу. Неоплазия кишечника. Хронический панкреатит. Хронический нефрит. </w:t>
      </w:r>
    </w:p>
    <w:p>
      <w:pPr>
        <w:pStyle w:val="NormalWeb"/>
        <w:spacing w:before="280" w:after="280"/>
        <w:rPr>
          <w:color w:val="000000"/>
        </w:rPr>
      </w:pPr>
      <w:r>
        <w:rPr>
          <w:color w:val="000000"/>
        </w:rPr>
        <w:t>Врач_______________________ Черепанова Ирина Юрьевна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71a0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Style14">
    <w:name w:val="Заголовок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71a0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Application>Neat_Office/6.2.8.2$Windows_x86 LibreOffice_project/</Application>
  <Pages>1</Pages>
  <Words>321</Words>
  <Characters>2331</Characters>
  <CharactersWithSpaces>2679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2019-11-02T18:30:00Z</dcterms:created>
  <dc:creator>Asus</dc:creator>
  <dc:description/>
  <dc:language>ru-RU</dc:language>
  <cp:lastModifiedBy/>
  <dcterms:modified xsi:type="dcterms:W3CDTF">2024-08-27T21:00:02Z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