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E5559B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E5559B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>16.10.2022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>Ящук Е. Ю.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ab/>
        <w:t xml:space="preserve">собака, вельш корги пемброк, 1,4 года, Макс, самец,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</w:ins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BA4CEF">
        <w:rPr>
          <w:rFonts w:ascii="Times New Roman" w:hAnsi="Times New Roman" w:cs="Times New Roman"/>
          <w:b/>
          <w:bCs/>
        </w:rPr>
        <w:t xml:space="preserve">90,69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E5559B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A4CEF">
        <w:rPr>
          <w:rFonts w:ascii="Times New Roman" w:hAnsi="Times New Roman" w:cs="Times New Roman"/>
          <w:bCs/>
        </w:rPr>
        <w:t xml:space="preserve">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BD2297">
        <w:rPr>
          <w:rFonts w:ascii="Times New Roman" w:hAnsi="Times New Roman" w:cs="Times New Roman"/>
          <w:bCs/>
        </w:rPr>
        <w:t xml:space="preserve">утолщена 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1,4</w:t>
      </w:r>
      <w:r w:rsidR="00BD2297">
        <w:rPr>
          <w:rFonts w:ascii="Times New Roman" w:hAnsi="Times New Roman" w:cs="Times New Roman"/>
          <w:bCs/>
        </w:rPr>
        <w:t xml:space="preserve"> до 2,9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D2297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 w:rsidR="00BA4CEF">
        <w:rPr>
          <w:rFonts w:ascii="Times New Roman" w:hAnsi="Times New Roman" w:cs="Times New Roman"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A4CEF">
        <w:rPr>
          <w:rFonts w:ascii="Times New Roman" w:hAnsi="Times New Roman" w:cs="Times New Roman"/>
          <w:bCs/>
        </w:rPr>
        <w:t xml:space="preserve">по всей полости мочевого пузыря визуализируется гиперэхогенный мелкодиперсный осадок распространенный диффузно, с гипоэхогенными областями неровной формы, однородные, распространенны диффузно по полости. </w:t>
      </w:r>
      <w:r w:rsidR="00BD2297">
        <w:rPr>
          <w:rFonts w:ascii="Times New Roman" w:hAnsi="Times New Roman" w:cs="Times New Roman"/>
          <w:bCs/>
        </w:rPr>
        <w:t xml:space="preserve">На дорсальной стенке визуализируются гиперэхогенные, овальной формы, со слабовыраженной эхоакустической тенью обеты – 4,0 мм и 3,8 мм.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A4CEF">
        <w:rPr>
          <w:rFonts w:ascii="Times New Roman" w:hAnsi="Times New Roman" w:cs="Times New Roman"/>
          <w:bCs/>
        </w:rPr>
        <w:t xml:space="preserve"> </w:t>
      </w:r>
      <w:r w:rsidR="00BD2297">
        <w:rPr>
          <w:rFonts w:ascii="Times New Roman" w:hAnsi="Times New Roman" w:cs="Times New Roman"/>
          <w:bCs/>
        </w:rPr>
        <w:t xml:space="preserve">0,9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BD2297">
        <w:rPr>
          <w:rFonts w:ascii="Times New Roman" w:hAnsi="Times New Roman" w:cs="Times New Roman"/>
          <w:bCs/>
        </w:rPr>
        <w:t xml:space="preserve"> – 2,1 мм</w:t>
      </w:r>
      <w:r>
        <w:rPr>
          <w:rFonts w:ascii="Times New Roman" w:hAnsi="Times New Roman" w:cs="Times New Roman"/>
          <w:bCs/>
        </w:rPr>
        <w:t xml:space="preserve">, </w:t>
      </w:r>
      <w:r w:rsidR="00BD2297">
        <w:rPr>
          <w:rFonts w:ascii="Times New Roman" w:hAnsi="Times New Roman" w:cs="Times New Roman"/>
          <w:bCs/>
        </w:rPr>
        <w:t xml:space="preserve">выражена гиперэхогенность слизистого слоя, так же выражена неровность слизистого слоя.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BD2297">
        <w:rPr>
          <w:rFonts w:ascii="Times New Roman" w:hAnsi="Times New Roman" w:cs="Times New Roman"/>
          <w:bCs/>
        </w:rPr>
        <w:t xml:space="preserve">48,0 х 22,6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BD2297">
        <w:rPr>
          <w:rFonts w:ascii="Times New Roman" w:hAnsi="Times New Roman" w:cs="Times New Roman"/>
          <w:b/>
          <w:bCs/>
          <w:i/>
          <w:u w:val="single"/>
        </w:rPr>
        <w:t xml:space="preserve">5,6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5559B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DC7D61">
        <w:rPr>
          <w:rFonts w:ascii="Times New Roman" w:hAnsi="Times New Roman" w:cs="Times New Roman"/>
          <w:b/>
          <w:bCs/>
        </w:rPr>
        <w:fldChar w:fldCharType="end"/>
      </w:r>
      <w:r w:rsidR="00E5559B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DC7D61">
        <w:rPr>
          <w:rFonts w:ascii="Times New Roman" w:hAnsi="Times New Roman" w:cs="Times New Roman"/>
          <w:b/>
          <w:bCs/>
        </w:rPr>
        <w:fldChar w:fldCharType="end"/>
      </w:r>
      <w:r w:rsidR="00E5559B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 w:rsidR="00BD2297">
        <w:rPr>
          <w:rFonts w:ascii="Times New Roman" w:hAnsi="Times New Roman" w:cs="Times New Roman"/>
          <w:bCs/>
        </w:rPr>
        <w:t xml:space="preserve"> – 1,4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E5559B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FB247B">
        <w:rPr>
          <w:rFonts w:ascii="Times New Roman" w:hAnsi="Times New Roman" w:cs="Times New Roman"/>
          <w:bCs/>
        </w:rPr>
        <w:fldChar w:fldCharType="end"/>
      </w:r>
      <w:r w:rsidR="00E5559B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5559B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FD29CD">
        <w:rPr>
          <w:rFonts w:ascii="Times New Roman" w:hAnsi="Times New Roman" w:cs="Times New Roman"/>
          <w:b/>
          <w:bCs/>
        </w:rPr>
        <w:fldChar w:fldCharType="end"/>
      </w:r>
      <w:r w:rsidR="00E5559B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FD29CD">
        <w:rPr>
          <w:rFonts w:ascii="Times New Roman" w:hAnsi="Times New Roman" w:cs="Times New Roman"/>
          <w:b/>
          <w:bCs/>
        </w:rPr>
        <w:fldChar w:fldCharType="end"/>
      </w:r>
      <w:r w:rsidR="00E5559B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lastRenderedPageBreak/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BA4CEF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умеренно выражен.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BA4CEF" w:rsidRPr="00DC7D61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BD2297">
        <w:rPr>
          <w:rFonts w:ascii="Times New Roman" w:hAnsi="Times New Roman" w:cs="Times New Roman"/>
          <w:bCs/>
        </w:rPr>
        <w:t xml:space="preserve">52,0 х 32,2 </w:t>
      </w:r>
      <w:r>
        <w:rPr>
          <w:rFonts w:ascii="Times New Roman" w:hAnsi="Times New Roman" w:cs="Times New Roman"/>
          <w:bCs/>
        </w:rPr>
        <w:t>мм).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A4CEF" w:rsidRPr="00AB0093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A4CEF" w:rsidRPr="00FD29CD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A4CEF" w:rsidRPr="009E7477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BD2297">
        <w:rPr>
          <w:rFonts w:ascii="Times New Roman" w:hAnsi="Times New Roman" w:cs="Times New Roman"/>
          <w:b/>
          <w:bCs/>
          <w:i/>
          <w:u w:val="single"/>
        </w:rPr>
        <w:t xml:space="preserve">5,1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 w:rsidR="00BD2297">
        <w:rPr>
          <w:rFonts w:ascii="Times New Roman" w:hAnsi="Times New Roman" w:cs="Times New Roman"/>
          <w:bCs/>
        </w:rPr>
        <w:t xml:space="preserve"> 1,7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A4CEF" w:rsidRPr="00C20DA2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A4CEF" w:rsidRPr="001A452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 умеренно выражен.</w:t>
      </w:r>
    </w:p>
    <w:p w:rsidR="00BA4CEF" w:rsidRPr="00AB0093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BD2297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BD2297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562C9" w:rsidRPr="00BD229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>УЗ признаки: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Уроцистита 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 бактериальная инфекция, грибковая инфекция, острый асептический геммарогический цистит, асептический цистит, мочекаменная болезнь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Можно предположить, нельзя исключить сгустки крови в полости мочевого пузыря 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 бактериальная инфекция, грибковая инфекция, острый асептический геммарогический цистит, асептический цистит,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Осадка в мочевом пузыре 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 xml:space="preserve">. бактериальная инфекция, грибковая инфекция, острый асептический геммарогический цистит, асептический цистит, мочекаменная болезнь, 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Можно предположить, нельзя исключить уролитиаз в начальной стадии формирования. </w:t>
      </w:r>
    </w:p>
    <w:p w:rsidR="00BD2297" w:rsidRDefault="00BD2297" w:rsidP="00BD2297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FE8" w:rsidRDefault="00E15FE8" w:rsidP="00FD72BF">
      <w:r>
        <w:separator/>
      </w:r>
    </w:p>
  </w:endnote>
  <w:endnote w:type="continuationSeparator" w:id="1">
    <w:p w:rsidR="00E15FE8" w:rsidRDefault="00E15FE8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FE8" w:rsidRDefault="00E15FE8" w:rsidP="00FD72BF">
      <w:r>
        <w:separator/>
      </w:r>
    </w:p>
  </w:footnote>
  <w:footnote w:type="continuationSeparator" w:id="1">
    <w:p w:rsidR="00E15FE8" w:rsidRDefault="00E15FE8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E5559B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7F17E65"/>
    <w:multiLevelType w:val="hybridMultilevel"/>
    <w:tmpl w:val="3202D5C0"/>
    <w:lvl w:ilvl="0" w:tplc="DF7C2B1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F26FF"/>
    <w:rsid w:val="00535793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62C9"/>
    <w:rsid w:val="00BA4CEF"/>
    <w:rsid w:val="00BD2297"/>
    <w:rsid w:val="00C47D2D"/>
    <w:rsid w:val="00C63E94"/>
    <w:rsid w:val="00CB19DB"/>
    <w:rsid w:val="00CC52C3"/>
    <w:rsid w:val="00D36276"/>
    <w:rsid w:val="00E15FE8"/>
    <w:rsid w:val="00E5559B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2022-10-16T09:57:00Z</dcterms:created>
  <dcterms:modified xsi:type="dcterms:W3CDTF">2022-10-16T09:57:00Z</dcterms:modified>
</cp:coreProperties>
</file>