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011C1B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011C1B">
        <w:rPr>
          <w:rFonts w:ascii="Calibri" w:hAnsi="Calibri" w:cs="Calibri"/>
        </w:rPr>
        <w:t>09</w:t>
      </w:r>
      <w:bookmarkStart w:id="0" w:name="_GoBack"/>
      <w:bookmarkEnd w:id="0"/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proofErr w:type="spellStart"/>
      <w:r w:rsidR="00011C1B">
        <w:rPr>
          <w:rFonts w:ascii="Calibri" w:hAnsi="Calibri" w:cs="Calibri"/>
        </w:rPr>
        <w:t>Чернядьев</w:t>
      </w:r>
      <w:proofErr w:type="spellEnd"/>
      <w:r w:rsidR="00011C1B">
        <w:rPr>
          <w:rFonts w:ascii="Calibri" w:hAnsi="Calibri" w:cs="Calibri"/>
        </w:rPr>
        <w:t xml:space="preserve"> А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011C1B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011C1B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011C1B">
        <w:rPr>
          <w:rFonts w:ascii="Calibri" w:hAnsi="Calibri" w:cs="Calibri"/>
        </w:rPr>
        <w:t>5,7л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r w:rsidR="00011C1B">
        <w:rPr>
          <w:rFonts w:ascii="Calibri" w:hAnsi="Calibri" w:cs="Calibri"/>
          <w:i/>
        </w:rPr>
        <w:t>Лола</w:t>
      </w:r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6F107C">
        <w:rPr>
          <w:rFonts w:ascii="Times New Roman" w:hAnsi="Times New Roman" w:cs="Times New Roman"/>
        </w:rPr>
        <w:t xml:space="preserve">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                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6F62CE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F62CE">
        <w:rPr>
          <w:rFonts w:ascii="Times New Roman" w:hAnsi="Times New Roman" w:cs="Times New Roman"/>
          <w:i/>
          <w:u w:val="single"/>
        </w:rPr>
        <w:t xml:space="preserve"> 18,0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F62CE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 xml:space="preserve"> визуализируется</w:t>
      </w:r>
      <w:r w:rsidR="006F62CE">
        <w:rPr>
          <w:rFonts w:ascii="Times New Roman" w:hAnsi="Times New Roman" w:cs="Times New Roman"/>
        </w:rPr>
        <w:t xml:space="preserve">, образование единичное в области тела селезенки выходящее за пределы паренхимы 18,9мм/16,0мм  не однородно </w:t>
      </w:r>
      <w:proofErr w:type="spellStart"/>
      <w:r w:rsidR="006F62CE">
        <w:rPr>
          <w:rFonts w:ascii="Times New Roman" w:hAnsi="Times New Roman" w:cs="Times New Roman"/>
        </w:rPr>
        <w:t>анэхогенное</w:t>
      </w:r>
      <w:proofErr w:type="spellEnd"/>
      <w:r w:rsidR="006F62CE">
        <w:rPr>
          <w:rFonts w:ascii="Times New Roman" w:hAnsi="Times New Roman" w:cs="Times New Roman"/>
        </w:rPr>
        <w:t>, с четкими контурами</w:t>
      </w:r>
      <w:r w:rsidR="0057644F" w:rsidRPr="00BB65BB">
        <w:rPr>
          <w:rFonts w:ascii="Times New Roman" w:hAnsi="Times New Roman" w:cs="Times New Roman"/>
        </w:rPr>
        <w:t>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6F62CE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6F62CE">
        <w:rPr>
          <w:rFonts w:ascii="Times New Roman" w:hAnsi="Times New Roman" w:cs="Times New Roman"/>
        </w:rPr>
        <w:t>2,3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6F62CE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6F62CE" w:rsidRPr="00BB65BB" w:rsidRDefault="00AF69CB" w:rsidP="006F62CE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   </w:t>
      </w:r>
      <w:r w:rsidR="006F62CE" w:rsidRPr="006F62CE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нет </w:t>
      </w:r>
      <w:r w:rsidRPr="006F62CE">
        <w:rPr>
          <w:rFonts w:ascii="Times New Roman" w:hAnsi="Times New Roman" w:cs="Times New Roman"/>
        </w:rPr>
        <w:t xml:space="preserve">   </w:t>
      </w:r>
      <w:r w:rsidR="004678AD" w:rsidRPr="006F62CE">
        <w:rPr>
          <w:rFonts w:ascii="Times New Roman" w:hAnsi="Times New Roman" w:cs="Times New Roman"/>
        </w:rPr>
        <w:t xml:space="preserve">                                                       </w:t>
      </w:r>
      <w:r w:rsidRPr="006F62CE">
        <w:rPr>
          <w:rFonts w:ascii="Times New Roman" w:hAnsi="Times New Roman" w:cs="Times New Roman"/>
        </w:rPr>
        <w:t xml:space="preserve">    </w:t>
      </w:r>
      <w:r w:rsidR="00AF69CB" w:rsidRPr="006F62CE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B31E69" w:rsidRPr="006F62CE">
        <w:rPr>
          <w:rFonts w:ascii="Times New Roman" w:hAnsi="Times New Roman" w:cs="Times New Roman"/>
        </w:rPr>
        <w:t xml:space="preserve">                                               </w:t>
      </w:r>
      <w:r w:rsidR="00AF69CB" w:rsidRPr="006F62CE">
        <w:rPr>
          <w:rFonts w:ascii="Times New Roman" w:hAnsi="Times New Roman" w:cs="Times New Roman"/>
        </w:rPr>
        <w:t xml:space="preserve">                    </w:t>
      </w:r>
      <w:r w:rsidRPr="006F62CE">
        <w:rPr>
          <w:rFonts w:ascii="Times New Roman" w:hAnsi="Times New Roman" w:cs="Times New Roman"/>
        </w:rPr>
        <w:t xml:space="preserve">      </w:t>
      </w:r>
      <w:r w:rsidR="004678AD" w:rsidRPr="006F62CE">
        <w:rPr>
          <w:rFonts w:ascii="Times New Roman" w:hAnsi="Times New Roman" w:cs="Times New Roman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125123" w:rsidRDefault="006F62CE" w:rsidP="006F62CE">
      <w:pPr>
        <w:rPr>
          <w:bdr w:val="none" w:sz="0" w:space="0" w:color="auto" w:frame="1"/>
          <w:lang w:eastAsia="ru-RU"/>
        </w:rPr>
      </w:pPr>
      <w:proofErr w:type="spellStart"/>
      <w:r>
        <w:rPr>
          <w:rFonts w:ascii="Times New Roman" w:hAnsi="Times New Roman" w:cs="Times New Roman"/>
        </w:rPr>
        <w:t>Спленомегалия</w:t>
      </w:r>
      <w:proofErr w:type="spellEnd"/>
      <w:r>
        <w:rPr>
          <w:rFonts w:ascii="Times New Roman" w:hAnsi="Times New Roman" w:cs="Times New Roman"/>
        </w:rPr>
        <w:t>, диффузные изменения структуры паренхимы селезенки</w:t>
      </w:r>
      <w:r w:rsidR="00804604">
        <w:rPr>
          <w:rFonts w:ascii="Times New Roman" w:hAnsi="Times New Roman" w:cs="Times New Roman"/>
        </w:rPr>
        <w:t>, визуализация образования  18,9мм/16</w:t>
      </w:r>
      <w:r>
        <w:rPr>
          <w:rFonts w:ascii="Times New Roman" w:hAnsi="Times New Roman" w:cs="Times New Roman"/>
        </w:rPr>
        <w:t>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гематому. ДД – </w:t>
      </w:r>
      <w:proofErr w:type="spellStart"/>
      <w:r>
        <w:rPr>
          <w:bdr w:val="none" w:sz="0" w:space="0" w:color="auto" w:frame="1"/>
          <w:lang w:eastAsia="ru-RU"/>
        </w:rPr>
        <w:t>Нодулярная</w:t>
      </w:r>
      <w:proofErr w:type="spellEnd"/>
      <w:r>
        <w:rPr>
          <w:bdr w:val="none" w:sz="0" w:space="0" w:color="auto" w:frame="1"/>
          <w:lang w:eastAsia="ru-RU"/>
        </w:rPr>
        <w:t xml:space="preserve">  гиперплазия</w:t>
      </w:r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</w:t>
      </w:r>
      <w:proofErr w:type="spellStart"/>
      <w:r>
        <w:rPr>
          <w:bdr w:val="none" w:sz="0" w:space="0" w:color="auto" w:frame="1"/>
          <w:lang w:eastAsia="ru-RU"/>
        </w:rPr>
        <w:t>гемопоэз</w:t>
      </w:r>
      <w:proofErr w:type="spellEnd"/>
      <w:r>
        <w:rPr>
          <w:bdr w:val="none" w:sz="0" w:space="0" w:color="auto" w:frame="1"/>
          <w:lang w:eastAsia="ru-RU"/>
        </w:rPr>
        <w:t xml:space="preserve">; </w:t>
      </w:r>
      <w:proofErr w:type="spellStart"/>
      <w:r>
        <w:rPr>
          <w:bdr w:val="none" w:sz="0" w:space="0" w:color="auto" w:frame="1"/>
          <w:lang w:eastAsia="ru-RU"/>
        </w:rPr>
        <w:t>гемангиома</w:t>
      </w:r>
      <w:proofErr w:type="spellEnd"/>
      <w:r>
        <w:rPr>
          <w:bdr w:val="none" w:sz="0" w:space="0" w:color="auto" w:frame="1"/>
          <w:lang w:eastAsia="ru-RU"/>
        </w:rPr>
        <w:t xml:space="preserve">. </w:t>
      </w:r>
    </w:p>
    <w:p w:rsidR="007B2BB5" w:rsidRDefault="007B2BB5" w:rsidP="006F62CE">
      <w:pPr>
        <w:rPr>
          <w:rFonts w:ascii="Times New Roman" w:hAnsi="Times New Roman" w:cs="Times New Roman"/>
          <w:sz w:val="18"/>
          <w:szCs w:val="18"/>
        </w:rPr>
      </w:pPr>
      <w:r>
        <w:rPr>
          <w:bdr w:val="none" w:sz="0" w:space="0" w:color="auto" w:frame="1"/>
          <w:lang w:eastAsia="ru-RU"/>
        </w:rPr>
        <w:t xml:space="preserve">Рекомендовано : </w:t>
      </w:r>
      <w:proofErr w:type="spellStart"/>
      <w:r>
        <w:rPr>
          <w:bdr w:val="none" w:sz="0" w:space="0" w:color="auto" w:frame="1"/>
          <w:lang w:eastAsia="ru-RU"/>
        </w:rPr>
        <w:t>Спленэктомия</w:t>
      </w:r>
      <w:proofErr w:type="spellEnd"/>
      <w:r>
        <w:rPr>
          <w:bdr w:val="none" w:sz="0" w:space="0" w:color="auto" w:frame="1"/>
          <w:lang w:eastAsia="ru-RU"/>
        </w:rPr>
        <w:t xml:space="preserve">, с учетом анамнеза высоко вероятна гематома селезенки. Динамическое наблюдение. </w:t>
      </w: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1C1B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6F62CE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B5"/>
    <w:rsid w:val="007E1BB3"/>
    <w:rsid w:val="007F1C45"/>
    <w:rsid w:val="00804604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  <w14:docId w14:val="13EAF2E9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140</cp:revision>
  <dcterms:created xsi:type="dcterms:W3CDTF">2015-06-29T11:35:00Z</dcterms:created>
  <dcterms:modified xsi:type="dcterms:W3CDTF">2019-06-16T07:31:00Z</dcterms:modified>
</cp:coreProperties>
</file>