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3C0B67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Изумрудная  д.3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196C92">
        <w:rPr>
          <w:rFonts w:ascii="Calibri" w:hAnsi="Calibri" w:cs="Calibri"/>
        </w:rPr>
        <w:t>09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</w:t>
      </w:r>
      <w:r w:rsidR="00196C92">
        <w:rPr>
          <w:rFonts w:ascii="Calibri" w:hAnsi="Calibri" w:cs="Calibri"/>
        </w:rPr>
        <w:t xml:space="preserve">Анисимова </w:t>
      </w:r>
      <w:r w:rsidR="003C0B67">
        <w:rPr>
          <w:rFonts w:ascii="Calibri" w:hAnsi="Calibri" w:cs="Calibri"/>
        </w:rPr>
        <w:t>ИВ</w:t>
      </w:r>
      <w:bookmarkStart w:id="0" w:name="_GoBack"/>
      <w:bookmarkEnd w:id="0"/>
      <w:r w:rsidR="007F1C45" w:rsidRPr="00882C39">
        <w:rPr>
          <w:rFonts w:ascii="Calibri" w:hAnsi="Calibri" w:cs="Calibri"/>
        </w:rPr>
        <w:t xml:space="preserve"> 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 </w:t>
      </w:r>
      <w:r w:rsidR="007F1C45" w:rsidRPr="00882C39">
        <w:rPr>
          <w:rFonts w:ascii="Calibri" w:hAnsi="Calibri" w:cs="Calibri"/>
          <w:i/>
          <w:u w:val="single"/>
        </w:rPr>
        <w:t xml:space="preserve">собака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196C92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96C92">
        <w:rPr>
          <w:rFonts w:ascii="Calibri" w:hAnsi="Calibri" w:cs="Calibri"/>
        </w:rPr>
        <w:t>такса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3C0B67">
        <w:rPr>
          <w:rFonts w:ascii="Calibri" w:hAnsi="Calibri" w:cs="Calibri"/>
        </w:rPr>
        <w:t>2,9г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 </w:t>
      </w:r>
      <w:r w:rsidR="00196C92">
        <w:rPr>
          <w:rFonts w:ascii="Calibri" w:hAnsi="Calibri" w:cs="Calibri"/>
          <w:i/>
        </w:rPr>
        <w:t>Вилли</w:t>
      </w:r>
      <w:r w:rsidR="007F1C45" w:rsidRPr="00882C39">
        <w:rPr>
          <w:rFonts w:ascii="Calibri" w:hAnsi="Calibri" w:cs="Calibri"/>
          <w:i/>
        </w:rPr>
        <w:t xml:space="preserve">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 w:rsidRPr="006F107C">
        <w:rPr>
          <w:rFonts w:ascii="Times New Roman" w:hAnsi="Times New Roman" w:cs="Times New Roman"/>
        </w:rPr>
        <w:t>;</w:t>
      </w:r>
      <w:r w:rsidR="006F107C">
        <w:rPr>
          <w:rFonts w:ascii="Times New Roman" w:hAnsi="Times New Roman" w:cs="Times New Roman"/>
        </w:rPr>
        <w:t xml:space="preserve"> </w:t>
      </w:r>
      <w:r w:rsidR="006F107C" w:rsidRPr="006F107C">
        <w:rPr>
          <w:rFonts w:ascii="Times New Roman" w:hAnsi="Times New Roman"/>
          <w:b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 xml:space="preserve">е,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  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816052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 xml:space="preserve">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196C92">
        <w:rPr>
          <w:rFonts w:ascii="Times New Roman" w:hAnsi="Times New Roman" w:cs="Times New Roman"/>
        </w:rPr>
        <w:t xml:space="preserve">   умеренно </w:t>
      </w:r>
      <w:proofErr w:type="spellStart"/>
      <w:r w:rsidR="00813FFC" w:rsidRPr="00847D17">
        <w:rPr>
          <w:rFonts w:ascii="Times New Roman" w:hAnsi="Times New Roman" w:cs="Times New Roman"/>
        </w:rPr>
        <w:t>гипоэхогенна</w:t>
      </w:r>
      <w:proofErr w:type="spellEnd"/>
      <w:r w:rsidR="00813FFC" w:rsidRPr="00847D17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                                  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8641EB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                       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196C92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>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 притуплены;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1608E4" w:rsidRPr="00BB65BB">
        <w:rPr>
          <w:rFonts w:ascii="Times New Roman" w:hAnsi="Times New Roman" w:cs="Times New Roman"/>
        </w:rPr>
        <w:t xml:space="preserve">умеренно </w:t>
      </w:r>
      <w:r w:rsidR="00196C92">
        <w:rPr>
          <w:rFonts w:ascii="Times New Roman" w:hAnsi="Times New Roman" w:cs="Times New Roman"/>
        </w:rPr>
        <w:t xml:space="preserve">увеличена, </w:t>
      </w:r>
      <w:r w:rsidR="009972C8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196C92">
        <w:rPr>
          <w:rFonts w:ascii="Times New Roman" w:hAnsi="Times New Roman" w:cs="Times New Roman"/>
          <w:b/>
          <w:i/>
          <w:u w:val="single"/>
        </w:rPr>
        <w:t xml:space="preserve"> 22,0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196C92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96C92">
        <w:rPr>
          <w:rFonts w:ascii="Times New Roman" w:hAnsi="Times New Roman" w:cs="Times New Roman"/>
          <w:sz w:val="24"/>
          <w:szCs w:val="24"/>
        </w:rPr>
        <w:t xml:space="preserve"> 59,6  мм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196C92">
        <w:rPr>
          <w:rFonts w:ascii="Times New Roman" w:hAnsi="Times New Roman" w:cs="Times New Roman"/>
          <w:sz w:val="24"/>
          <w:szCs w:val="24"/>
        </w:rPr>
        <w:t>7,9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96C92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</w:t>
      </w:r>
      <w:r w:rsidR="008A061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EC555A" w:rsidRPr="0052092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="00196C92">
        <w:rPr>
          <w:rFonts w:ascii="Times New Roman" w:hAnsi="Times New Roman" w:cs="Times New Roman"/>
          <w:sz w:val="24"/>
          <w:szCs w:val="24"/>
        </w:rPr>
        <w:t>асширена</w:t>
      </w:r>
      <w:r w:rsidR="00365C00" w:rsidRPr="00520928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</w:t>
      </w:r>
      <w:r w:rsidR="00C850AB" w:rsidRPr="001350A8">
        <w:rPr>
          <w:rFonts w:ascii="Times New Roman" w:hAnsi="Times New Roman" w:cs="Times New Roman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>Не 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196C92">
        <w:rPr>
          <w:rFonts w:ascii="Times New Roman" w:hAnsi="Times New Roman" w:cs="Times New Roman"/>
          <w:sz w:val="24"/>
          <w:szCs w:val="24"/>
        </w:rPr>
        <w:t xml:space="preserve">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AD10CE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196C92">
        <w:rPr>
          <w:rFonts w:ascii="Times New Roman" w:hAnsi="Times New Roman" w:cs="Times New Roman"/>
          <w:sz w:val="24"/>
          <w:szCs w:val="24"/>
        </w:rPr>
        <w:t xml:space="preserve"> 61,0  мм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196C92">
        <w:rPr>
          <w:rFonts w:ascii="Times New Roman" w:hAnsi="Times New Roman" w:cs="Times New Roman"/>
          <w:sz w:val="24"/>
          <w:szCs w:val="24"/>
        </w:rPr>
        <w:t>9,0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96C92">
        <w:rPr>
          <w:rFonts w:ascii="Times New Roman" w:hAnsi="Times New Roman" w:cs="Times New Roman"/>
          <w:sz w:val="24"/>
          <w:szCs w:val="24"/>
        </w:rPr>
        <w:t xml:space="preserve"> сохранена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lastRenderedPageBreak/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196C92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>Не 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                                                                                                                                                               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                             </w:t>
      </w:r>
      <w:r w:rsidR="008A061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                                        </w:t>
      </w:r>
      <w:r w:rsidR="00AF69CB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</w:t>
      </w:r>
      <w:r w:rsidR="00AD10CE"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 - </w:t>
      </w:r>
      <w:r w:rsidR="00196C92">
        <w:rPr>
          <w:rFonts w:ascii="Times New Roman" w:hAnsi="Times New Roman" w:cs="Times New Roman"/>
          <w:sz w:val="18"/>
          <w:szCs w:val="18"/>
        </w:rPr>
        <w:t xml:space="preserve"> 4,9мм/4,5мм </w:t>
      </w:r>
      <w:r w:rsidR="00B31E69">
        <w:rPr>
          <w:rFonts w:ascii="Times New Roman" w:hAnsi="Times New Roman" w:cs="Times New Roman"/>
          <w:sz w:val="18"/>
          <w:szCs w:val="18"/>
        </w:rPr>
        <w:t xml:space="preserve"> не увеличен – правый –</w:t>
      </w:r>
      <w:r w:rsidR="00196C92">
        <w:rPr>
          <w:rFonts w:ascii="Times New Roman" w:hAnsi="Times New Roman" w:cs="Times New Roman"/>
          <w:sz w:val="18"/>
          <w:szCs w:val="18"/>
        </w:rPr>
        <w:t xml:space="preserve">  5,1мм/5,8мм </w:t>
      </w:r>
      <w:r w:rsidR="00B31E69">
        <w:rPr>
          <w:rFonts w:ascii="Times New Roman" w:hAnsi="Times New Roman" w:cs="Times New Roman"/>
          <w:sz w:val="18"/>
          <w:szCs w:val="18"/>
        </w:rPr>
        <w:t xml:space="preserve">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196C92">
        <w:rPr>
          <w:rFonts w:ascii="Times New Roman" w:hAnsi="Times New Roman" w:cs="Times New Roman"/>
        </w:rPr>
        <w:t xml:space="preserve">   не наполнен</w:t>
      </w:r>
      <w:r w:rsidR="003C4BF8">
        <w:rPr>
          <w:rFonts w:ascii="Times New Roman" w:hAnsi="Times New Roman" w:cs="Times New Roman"/>
        </w:rPr>
        <w:t xml:space="preserve">.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196C92">
        <w:rPr>
          <w:rFonts w:ascii="Times New Roman" w:hAnsi="Times New Roman" w:cs="Times New Roman"/>
        </w:rPr>
        <w:t>3,5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196C92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7741DF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  <w:r w:rsidR="00B671E5" w:rsidRPr="00E134FF">
        <w:rPr>
          <w:rFonts w:ascii="Times New Roman" w:hAnsi="Times New Roman" w:cs="Times New Roman"/>
          <w:b/>
          <w:i/>
          <w:u w:val="single"/>
        </w:rPr>
        <w:t>ПРЕДСТАТЕЛЬНАЯ ЖЕЛЕЗА</w:t>
      </w:r>
      <w:r w:rsidR="00B671E5" w:rsidRPr="00322521">
        <w:rPr>
          <w:rFonts w:ascii="Times New Roman" w:hAnsi="Times New Roman" w:cs="Times New Roman"/>
          <w:sz w:val="24"/>
          <w:szCs w:val="24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</w:t>
      </w:r>
    </w:p>
    <w:p w:rsidR="008E3CFE" w:rsidRPr="00BB65BB" w:rsidRDefault="00AF69CB" w:rsidP="008E3CFE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E3CFE" w:rsidRPr="00BB65BB">
        <w:rPr>
          <w:rFonts w:ascii="Times New Roman" w:hAnsi="Times New Roman"/>
          <w:b/>
          <w:i/>
          <w:u w:val="single"/>
        </w:rPr>
        <w:t>Расположение</w:t>
      </w:r>
      <w:r w:rsidR="008E3CFE" w:rsidRPr="00BB65BB">
        <w:rPr>
          <w:rFonts w:ascii="Times New Roman" w:hAnsi="Times New Roman"/>
          <w:b/>
        </w:rPr>
        <w:t xml:space="preserve">: </w:t>
      </w:r>
      <w:r w:rsidR="008E3CFE" w:rsidRPr="00BB65BB">
        <w:rPr>
          <w:rFonts w:ascii="Times New Roman" w:hAnsi="Times New Roman"/>
        </w:rPr>
        <w:t>анатомически правильное;</w:t>
      </w:r>
      <w:r w:rsidR="00B31E69" w:rsidRPr="00BB65BB">
        <w:rPr>
          <w:rFonts w:ascii="Times New Roman" w:hAnsi="Times New Roman"/>
        </w:rPr>
        <w:t xml:space="preserve">  </w:t>
      </w:r>
      <w:r w:rsidR="009972C8" w:rsidRPr="00BB65BB">
        <w:rPr>
          <w:rFonts w:ascii="Times New Roman" w:hAnsi="Times New Roman"/>
        </w:rPr>
        <w:t xml:space="preserve">    </w:t>
      </w:r>
      <w:r w:rsidR="007741DF" w:rsidRPr="007741DF">
        <w:rPr>
          <w:rFonts w:ascii="Times New Roman" w:hAnsi="Times New Roman"/>
          <w:b/>
          <w:i/>
          <w:u w:val="single"/>
        </w:rPr>
        <w:t>Контуры</w:t>
      </w:r>
      <w:r w:rsidR="007741DF" w:rsidRPr="007741DF">
        <w:rPr>
          <w:rFonts w:ascii="Times New Roman" w:hAnsi="Times New Roman"/>
          <w:i/>
          <w:u w:val="single"/>
        </w:rPr>
        <w:t>:</w:t>
      </w:r>
      <w:r w:rsidR="007741DF" w:rsidRPr="00E9694E">
        <w:rPr>
          <w:rFonts w:ascii="Times New Roman" w:hAnsi="Times New Roman"/>
        </w:rPr>
        <w:t xml:space="preserve"> ровные, четкие, доли симметричны;</w:t>
      </w:r>
      <w:r w:rsidR="007741DF">
        <w:rPr>
          <w:rFonts w:ascii="Times New Roman" w:hAnsi="Times New Roman"/>
        </w:rPr>
        <w:t xml:space="preserve"> </w:t>
      </w:r>
      <w:r w:rsidR="007741DF" w:rsidRPr="00E9694E">
        <w:rPr>
          <w:rFonts w:ascii="Times New Roman" w:hAnsi="Times New Roman"/>
        </w:rPr>
        <w:t xml:space="preserve"> </w:t>
      </w:r>
      <w:r w:rsidR="009972C8" w:rsidRPr="00BB65BB">
        <w:rPr>
          <w:rFonts w:ascii="Times New Roman" w:hAnsi="Times New Roman"/>
          <w:b/>
          <w:i/>
          <w:u w:val="single"/>
        </w:rPr>
        <w:t>Размер</w:t>
      </w:r>
      <w:r w:rsidR="009972C8" w:rsidRPr="00BB65BB">
        <w:rPr>
          <w:rFonts w:ascii="Times New Roman" w:hAnsi="Times New Roman"/>
          <w:i/>
          <w:u w:val="single"/>
        </w:rPr>
        <w:t>:</w:t>
      </w:r>
      <w:r w:rsidR="007741DF">
        <w:rPr>
          <w:rFonts w:ascii="Times New Roman" w:hAnsi="Times New Roman"/>
        </w:rPr>
        <w:t xml:space="preserve"> не увеличена</w:t>
      </w:r>
      <w:r w:rsidR="00196C92">
        <w:rPr>
          <w:rFonts w:ascii="Times New Roman" w:hAnsi="Times New Roman"/>
        </w:rPr>
        <w:t xml:space="preserve"> 27,0мм/16,0мм/14,0мм</w:t>
      </w:r>
      <w:r w:rsidR="007741DF">
        <w:rPr>
          <w:rFonts w:ascii="Times New Roman" w:hAnsi="Times New Roman"/>
        </w:rPr>
        <w:t xml:space="preserve">;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паренхимы: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 w:rsidRPr="00E9694E">
        <w:rPr>
          <w:rFonts w:ascii="Times New Roman" w:hAnsi="Times New Roman"/>
        </w:rPr>
        <w:t>не изменена;</w:t>
      </w:r>
      <w:r w:rsidR="007741DF" w:rsidRPr="00E9694E">
        <w:rPr>
          <w:rFonts w:ascii="Times New Roman" w:hAnsi="Times New Roman"/>
          <w:b/>
        </w:rPr>
        <w:t xml:space="preserve"> </w:t>
      </w:r>
      <w:r w:rsidR="007741DF">
        <w:rPr>
          <w:rFonts w:ascii="Times New Roman" w:hAnsi="Times New Roman"/>
          <w:b/>
        </w:rPr>
        <w:t xml:space="preserve"> </w:t>
      </w:r>
      <w:proofErr w:type="spellStart"/>
      <w:r w:rsidR="007741DF" w:rsidRPr="007741DF">
        <w:rPr>
          <w:rFonts w:ascii="Times New Roman" w:hAnsi="Times New Roman"/>
          <w:b/>
          <w:i/>
          <w:u w:val="single"/>
        </w:rPr>
        <w:t>Эхоструктура</w:t>
      </w:r>
      <w:proofErr w:type="spellEnd"/>
      <w:r w:rsidR="007741DF" w:rsidRPr="007741DF">
        <w:rPr>
          <w:rFonts w:ascii="Times New Roman" w:hAnsi="Times New Roman"/>
          <w:b/>
          <w:i/>
          <w:u w:val="single"/>
        </w:rPr>
        <w:t xml:space="preserve"> паренхимы</w:t>
      </w:r>
      <w:r w:rsidR="007741DF" w:rsidRPr="00E9694E">
        <w:rPr>
          <w:rFonts w:ascii="Times New Roman" w:hAnsi="Times New Roman"/>
          <w:b/>
        </w:rPr>
        <w:t xml:space="preserve">: </w:t>
      </w:r>
      <w:r w:rsidR="007741DF" w:rsidRPr="00E9694E">
        <w:rPr>
          <w:rFonts w:ascii="Times New Roman" w:hAnsi="Times New Roman"/>
        </w:rPr>
        <w:t>однородная;</w:t>
      </w:r>
      <w:r w:rsidR="00196C92">
        <w:rPr>
          <w:rFonts w:ascii="Times New Roman" w:hAnsi="Times New Roman"/>
        </w:rPr>
        <w:t xml:space="preserve"> </w:t>
      </w:r>
      <w:proofErr w:type="spellStart"/>
      <w:r w:rsidR="00196C92">
        <w:rPr>
          <w:rFonts w:ascii="Times New Roman" w:hAnsi="Times New Roman"/>
        </w:rPr>
        <w:t>гиперэхогенная</w:t>
      </w:r>
      <w:proofErr w:type="spellEnd"/>
      <w:r w:rsidR="009972C8" w:rsidRPr="00BB65BB">
        <w:rPr>
          <w:rFonts w:ascii="Times New Roman" w:hAnsi="Times New Roman"/>
          <w:b/>
        </w:rPr>
        <w:t xml:space="preserve">;             </w:t>
      </w:r>
      <w:r w:rsidR="00B31E69" w:rsidRPr="00BB65BB">
        <w:rPr>
          <w:rFonts w:ascii="Times New Roman" w:hAnsi="Times New Roman"/>
          <w:b/>
        </w:rPr>
        <w:t xml:space="preserve"> </w:t>
      </w:r>
      <w:r w:rsidR="009972C8" w:rsidRPr="00BB65BB">
        <w:rPr>
          <w:rFonts w:ascii="Times New Roman" w:hAnsi="Times New Roman"/>
          <w:b/>
        </w:rPr>
        <w:t xml:space="preserve">  </w:t>
      </w:r>
      <w:r w:rsidR="009972C8" w:rsidRPr="00BB65BB">
        <w:rPr>
          <w:rFonts w:ascii="Times New Roman" w:hAnsi="Times New Roman"/>
        </w:rPr>
        <w:t xml:space="preserve">             </w:t>
      </w:r>
      <w:r w:rsidR="008E3CFE" w:rsidRPr="00BB65BB">
        <w:rPr>
          <w:rFonts w:ascii="Times New Roman" w:hAnsi="Times New Roman"/>
          <w:b/>
          <w:i/>
          <w:u w:val="single"/>
        </w:rPr>
        <w:t>Очаговые изменения:</w:t>
      </w:r>
      <w:r w:rsidR="008E3CFE" w:rsidRPr="00BB65BB">
        <w:rPr>
          <w:rFonts w:ascii="Times New Roman" w:hAnsi="Times New Roman"/>
        </w:rPr>
        <w:t xml:space="preserve">  не выявлено;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8E3CFE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r w:rsidRPr="00540590">
        <w:rPr>
          <w:rFonts w:ascii="Times New Roman" w:hAnsi="Times New Roman" w:cs="Times New Roman"/>
          <w:b/>
          <w:i/>
          <w:u w:val="single"/>
        </w:rPr>
        <w:t xml:space="preserve">СЕМЕННИКИ: </w:t>
      </w:r>
      <w:r w:rsidR="00525DD0">
        <w:rPr>
          <w:rFonts w:ascii="Times New Roman" w:hAnsi="Times New Roman" w:cs="Times New Roman"/>
          <w:b/>
          <w:i/>
        </w:rPr>
        <w:t xml:space="preserve">            </w:t>
      </w:r>
      <w:r w:rsidRPr="00540590">
        <w:rPr>
          <w:rFonts w:ascii="Times New Roman" w:hAnsi="Times New Roman"/>
          <w:u w:val="single"/>
        </w:rPr>
        <w:t>Правый:</w:t>
      </w:r>
      <w:r w:rsidR="00B31E69" w:rsidRPr="00B66BCF">
        <w:rPr>
          <w:rFonts w:ascii="Times New Roman" w:hAnsi="Times New Roman"/>
          <w:u w:val="single"/>
        </w:rPr>
        <w:t xml:space="preserve">  </w:t>
      </w:r>
      <w:r w:rsidR="00540590">
        <w:rPr>
          <w:rFonts w:ascii="Times New Roman" w:hAnsi="Times New Roman"/>
          <w:u w:val="single"/>
        </w:rPr>
        <w:t xml:space="preserve">      </w:t>
      </w:r>
      <w:r w:rsidR="00540590" w:rsidRPr="00540590">
        <w:rPr>
          <w:rFonts w:ascii="Times New Roman" w:hAnsi="Times New Roman"/>
          <w:b/>
          <w:i/>
          <w:u w:val="single"/>
        </w:rPr>
        <w:t xml:space="preserve">                        </w:t>
      </w:r>
      <w:r w:rsidRPr="00540590">
        <w:rPr>
          <w:rFonts w:ascii="Times New Roman" w:hAnsi="Times New Roman"/>
          <w:b/>
          <w:i/>
          <w:u w:val="single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Расположение: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анатомически правильное;</w:t>
      </w:r>
      <w:r w:rsidR="00540590">
        <w:rPr>
          <w:rFonts w:ascii="Times New Roman" w:hAnsi="Times New Roman"/>
        </w:rPr>
        <w:t xml:space="preserve">                 </w:t>
      </w:r>
      <w:r w:rsidRPr="00B66BCF">
        <w:rPr>
          <w:rFonts w:ascii="Times New Roman" w:hAnsi="Times New Roman"/>
        </w:rPr>
        <w:t xml:space="preserve"> </w:t>
      </w:r>
      <w:r w:rsidRPr="00B66BCF">
        <w:rPr>
          <w:rFonts w:ascii="Times New Roman" w:hAnsi="Times New Roman"/>
          <w:b/>
          <w:i/>
          <w:u w:val="single"/>
        </w:rPr>
        <w:t>Размер</w:t>
      </w:r>
      <w:r w:rsidR="00540590">
        <w:rPr>
          <w:rFonts w:ascii="Times New Roman" w:hAnsi="Times New Roman"/>
        </w:rPr>
        <w:t xml:space="preserve">: в пределах нормы;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  <w:i/>
          <w:u w:val="single"/>
        </w:rPr>
        <w:t>:</w:t>
      </w:r>
      <w:r w:rsidRPr="00B66BCF">
        <w:rPr>
          <w:rFonts w:ascii="Times New Roman" w:hAnsi="Times New Roman"/>
        </w:rPr>
        <w:t xml:space="preserve"> ровные;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</w:p>
    <w:p w:rsidR="00B31E69" w:rsidRPr="00B66BCF" w:rsidRDefault="008E3CFE" w:rsidP="008E3CFE">
      <w:pPr>
        <w:spacing w:line="240" w:lineRule="auto"/>
        <w:rPr>
          <w:rFonts w:ascii="Times New Roman" w:hAnsi="Times New Roman"/>
          <w:u w:val="single"/>
        </w:rPr>
      </w:pPr>
      <w:r w:rsidRPr="00B66BCF">
        <w:rPr>
          <w:rFonts w:ascii="Times New Roman" w:hAnsi="Times New Roman"/>
          <w:u w:val="single"/>
        </w:rPr>
        <w:t xml:space="preserve">Левый: </w:t>
      </w:r>
      <w:r w:rsidR="00540590">
        <w:rPr>
          <w:rFonts w:ascii="Times New Roman" w:hAnsi="Times New Roman"/>
          <w:u w:val="single"/>
        </w:rPr>
        <w:t xml:space="preserve">    </w:t>
      </w:r>
      <w:r w:rsidRPr="00B66BCF">
        <w:rPr>
          <w:rFonts w:ascii="Times New Roman" w:hAnsi="Times New Roman"/>
          <w:b/>
          <w:i/>
          <w:u w:val="single"/>
        </w:rPr>
        <w:t>Расположение</w:t>
      </w:r>
      <w:r w:rsidRPr="00B66BCF">
        <w:rPr>
          <w:rFonts w:ascii="Times New Roman" w:hAnsi="Times New Roman"/>
          <w:b/>
        </w:rPr>
        <w:t xml:space="preserve">: </w:t>
      </w:r>
      <w:r w:rsidRPr="00B66BCF">
        <w:rPr>
          <w:rFonts w:ascii="Times New Roman" w:hAnsi="Times New Roman"/>
        </w:rPr>
        <w:t xml:space="preserve">анатомически правильное; </w:t>
      </w:r>
      <w:r w:rsidRPr="00B66BCF">
        <w:rPr>
          <w:rFonts w:ascii="Times New Roman" w:hAnsi="Times New Roman"/>
          <w:i/>
          <w:u w:val="single"/>
        </w:rPr>
        <w:t>Размер:</w:t>
      </w:r>
      <w:r w:rsidRPr="00B66BCF">
        <w:rPr>
          <w:rFonts w:ascii="Times New Roman" w:hAnsi="Times New Roman"/>
        </w:rPr>
        <w:t xml:space="preserve"> в пределах нормы;                                                    </w:t>
      </w:r>
      <w:r w:rsidRPr="00B66BCF">
        <w:rPr>
          <w:rFonts w:ascii="Times New Roman" w:hAnsi="Times New Roman"/>
          <w:b/>
          <w:i/>
          <w:u w:val="single"/>
        </w:rPr>
        <w:t>Контуры</w:t>
      </w:r>
      <w:r w:rsidRPr="00B66BCF">
        <w:rPr>
          <w:rFonts w:ascii="Times New Roman" w:hAnsi="Times New Roman"/>
        </w:rPr>
        <w:t xml:space="preserve">: ровные;                                                           </w:t>
      </w:r>
      <w:proofErr w:type="spellStart"/>
      <w:r w:rsidRPr="00B66BCF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B66BCF">
        <w:rPr>
          <w:rFonts w:ascii="Times New Roman" w:hAnsi="Times New Roman"/>
          <w:b/>
          <w:i/>
          <w:u w:val="single"/>
        </w:rPr>
        <w:t xml:space="preserve"> паренхимы</w:t>
      </w:r>
      <w:r w:rsidRPr="00B66BCF">
        <w:rPr>
          <w:rFonts w:ascii="Times New Roman" w:hAnsi="Times New Roman"/>
        </w:rPr>
        <w:t xml:space="preserve">: </w:t>
      </w:r>
      <w:proofErr w:type="spellStart"/>
      <w:r w:rsidRPr="00B66BCF">
        <w:rPr>
          <w:rFonts w:ascii="Times New Roman" w:hAnsi="Times New Roman"/>
        </w:rPr>
        <w:t>гиперэхогенная</w:t>
      </w:r>
      <w:proofErr w:type="spellEnd"/>
      <w:r w:rsidRPr="00B66BCF">
        <w:rPr>
          <w:rFonts w:ascii="Times New Roman" w:hAnsi="Times New Roman"/>
        </w:rPr>
        <w:t xml:space="preserve">;                      </w:t>
      </w:r>
      <w:r w:rsidRPr="00B66BCF">
        <w:rPr>
          <w:rFonts w:ascii="Times New Roman" w:hAnsi="Times New Roman"/>
          <w:b/>
          <w:i/>
          <w:u w:val="single"/>
        </w:rPr>
        <w:t>Структура паренхимы:</w:t>
      </w:r>
      <w:r w:rsidRPr="00B66BCF">
        <w:rPr>
          <w:rFonts w:ascii="Times New Roman" w:hAnsi="Times New Roman"/>
        </w:rPr>
        <w:t xml:space="preserve"> однородная ;                                    </w:t>
      </w:r>
      <w:r w:rsidRPr="00B66BCF">
        <w:rPr>
          <w:rFonts w:ascii="Times New Roman" w:hAnsi="Times New Roman"/>
          <w:b/>
          <w:i/>
          <w:u w:val="single"/>
        </w:rPr>
        <w:t>Очаговые образования:</w:t>
      </w:r>
      <w:r w:rsidRPr="00B66BCF">
        <w:rPr>
          <w:rFonts w:ascii="Times New Roman" w:hAnsi="Times New Roman"/>
          <w:b/>
        </w:rPr>
        <w:t xml:space="preserve"> </w:t>
      </w:r>
      <w:r w:rsidRPr="00B66BCF">
        <w:rPr>
          <w:rFonts w:ascii="Times New Roman" w:hAnsi="Times New Roman"/>
        </w:rPr>
        <w:t>не визуализируются</w:t>
      </w:r>
      <w:r w:rsidRPr="00B66BCF">
        <w:rPr>
          <w:rFonts w:ascii="Times New Roman" w:hAnsi="Times New Roman"/>
          <w:u w:val="single"/>
        </w:rPr>
        <w:t xml:space="preserve">     </w:t>
      </w:r>
      <w:r w:rsidR="00B31E69" w:rsidRPr="00B66BCF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>ЖЕЛУДОЧНО-КИШЕЧНЫЙ 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196C92">
        <w:rPr>
          <w:rFonts w:ascii="Times New Roman" w:hAnsi="Times New Roman"/>
        </w:rPr>
        <w:t xml:space="preserve"> пустой 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>: не утолщены, дифференциация слоев сохранена</w:t>
      </w:r>
      <w:r w:rsidR="00196C92">
        <w:rPr>
          <w:rFonts w:ascii="Times New Roman" w:hAnsi="Times New Roman"/>
        </w:rPr>
        <w:t xml:space="preserve">, слизистый слои </w:t>
      </w:r>
      <w:proofErr w:type="spellStart"/>
      <w:r w:rsidR="00196C92">
        <w:rPr>
          <w:rFonts w:ascii="Times New Roman" w:hAnsi="Times New Roman"/>
        </w:rPr>
        <w:t>гиперэхогенные</w:t>
      </w:r>
      <w:proofErr w:type="spellEnd"/>
      <w:r w:rsidR="008E3CFE" w:rsidRPr="006B2F10">
        <w:rPr>
          <w:rFonts w:ascii="Times New Roman" w:hAnsi="Times New Roman"/>
        </w:rPr>
        <w:t xml:space="preserve">, складчатость сохранена; </w:t>
      </w:r>
      <w:r w:rsidR="00196C92" w:rsidRPr="00196C92">
        <w:rPr>
          <w:rFonts w:ascii="Times New Roman" w:hAnsi="Times New Roman"/>
          <w:b/>
          <w:i/>
          <w:u w:val="single"/>
        </w:rPr>
        <w:t>Эвакуация содержимого</w:t>
      </w:r>
      <w:r w:rsidR="00196C92">
        <w:rPr>
          <w:rFonts w:ascii="Times New Roman" w:hAnsi="Times New Roman"/>
        </w:rPr>
        <w:t xml:space="preserve">  : в норме.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="00196C92">
        <w:rPr>
          <w:rFonts w:ascii="Times New Roman" w:hAnsi="Times New Roman"/>
        </w:rPr>
        <w:t xml:space="preserve"> умеренно </w:t>
      </w:r>
      <w:r w:rsidRPr="006B2F10">
        <w:rPr>
          <w:rFonts w:ascii="Times New Roman" w:hAnsi="Times New Roman"/>
        </w:rPr>
        <w:t>утолщены</w:t>
      </w:r>
      <w:r w:rsidR="00196C92">
        <w:rPr>
          <w:rFonts w:ascii="Times New Roman" w:hAnsi="Times New Roman"/>
        </w:rPr>
        <w:t xml:space="preserve"> ДПК -5,9мм; тощая 5,6мм;</w:t>
      </w:r>
      <w:r w:rsidRPr="006B2F10">
        <w:rPr>
          <w:rFonts w:ascii="Times New Roman" w:hAnsi="Times New Roman"/>
        </w:rPr>
        <w:t>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="00196C92">
        <w:rPr>
          <w:rFonts w:ascii="Times New Roman" w:hAnsi="Times New Roman"/>
        </w:rPr>
        <w:t xml:space="preserve"> </w:t>
      </w:r>
      <w:r w:rsidRPr="006B2F10">
        <w:rPr>
          <w:rFonts w:ascii="Times New Roman" w:hAnsi="Times New Roman"/>
        </w:rPr>
        <w:t xml:space="preserve"> выявлено</w:t>
      </w:r>
      <w:r w:rsidR="00196C92">
        <w:rPr>
          <w:rFonts w:ascii="Times New Roman" w:hAnsi="Times New Roman"/>
        </w:rPr>
        <w:t xml:space="preserve"> </w:t>
      </w:r>
      <w:proofErr w:type="spellStart"/>
      <w:r w:rsidR="00196C92">
        <w:rPr>
          <w:rFonts w:ascii="Times New Roman" w:hAnsi="Times New Roman"/>
        </w:rPr>
        <w:t>гиперэхогенные</w:t>
      </w:r>
      <w:proofErr w:type="spellEnd"/>
      <w:r w:rsidR="00196C92">
        <w:rPr>
          <w:rFonts w:ascii="Times New Roman" w:hAnsi="Times New Roman"/>
        </w:rPr>
        <w:t xml:space="preserve"> точечные включения слизистого слоя ДПК. 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>Толстый отдел 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r w:rsidRPr="006B2F10">
        <w:rPr>
          <w:rFonts w:ascii="Times New Roman" w:hAnsi="Times New Roman"/>
        </w:rPr>
        <w:t xml:space="preserve"> каловые массы;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Лимфатические узлы  брюшной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</w:t>
      </w:r>
    </w:p>
    <w:p w:rsidR="00196C92" w:rsidRDefault="00BE0556" w:rsidP="00196C92">
      <w:pPr>
        <w:rPr>
          <w:rFonts w:ascii="Times New Roman" w:hAnsi="Times New Roman" w:cs="Times New Roman"/>
        </w:rPr>
      </w:pPr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196C92" w:rsidRDefault="00196C92" w:rsidP="00196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Гастрита.</w:t>
      </w:r>
    </w:p>
    <w:p w:rsidR="007E1BB3" w:rsidRDefault="00196C92" w:rsidP="00196C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Хронической </w:t>
      </w: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 xml:space="preserve">.  </w:t>
      </w:r>
      <w:proofErr w:type="spellStart"/>
      <w:r>
        <w:rPr>
          <w:rFonts w:ascii="Times New Roman" w:hAnsi="Times New Roman" w:cs="Times New Roman"/>
        </w:rPr>
        <w:t>Лимфангиоэтазии</w:t>
      </w:r>
      <w:proofErr w:type="spellEnd"/>
      <w:r>
        <w:rPr>
          <w:rFonts w:ascii="Times New Roman" w:hAnsi="Times New Roman" w:cs="Times New Roman"/>
        </w:rPr>
        <w:t xml:space="preserve"> слизистого слоя  ДПК (12и-перстной)  -   данная картина может соответствовать воспалительным заболеваниям кишечника  (пищевой гиперчувствительности, паразитарные, идиопатические ВЗК и т.д.),.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96C92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0B67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60675F18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2</Pages>
  <Words>2035</Words>
  <Characters>11602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138</cp:revision>
  <dcterms:created xsi:type="dcterms:W3CDTF">2015-06-29T11:35:00Z</dcterms:created>
  <dcterms:modified xsi:type="dcterms:W3CDTF">2019-06-09T07:07:00Z</dcterms:modified>
</cp:coreProperties>
</file>